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1A4C1" w14:textId="77777777" w:rsidR="00C575E1" w:rsidRDefault="00E87AE7">
      <w:pPr>
        <w:tabs>
          <w:tab w:val="left" w:pos="8115"/>
        </w:tabs>
        <w:spacing w:after="0" w:line="240" w:lineRule="auto"/>
        <w:rPr>
          <w:rFonts w:ascii="Times New Roman" w:hAnsi="Times New Roman"/>
          <w:sz w:val="24"/>
          <w:lang w:eastAsia="hr-HR"/>
        </w:rPr>
      </w:pPr>
      <w:r>
        <w:rPr>
          <w:rFonts w:ascii="Times New Roman" w:hAnsi="Times New Roman"/>
          <w:sz w:val="24"/>
          <w:lang w:eastAsia="hr-HR"/>
        </w:rPr>
        <w:t>KLASA: P-240/23</w:t>
      </w:r>
    </w:p>
    <w:p w14:paraId="5CEA583A" w14:textId="77777777" w:rsidR="00C575E1" w:rsidRDefault="00E87AE7">
      <w:pPr>
        <w:tabs>
          <w:tab w:val="left" w:pos="8115"/>
        </w:tabs>
        <w:spacing w:after="0" w:line="240" w:lineRule="auto"/>
        <w:rPr>
          <w:rFonts w:ascii="Times New Roman" w:hAnsi="Times New Roman"/>
          <w:sz w:val="24"/>
        </w:rPr>
      </w:pPr>
      <w:r>
        <w:rPr>
          <w:rFonts w:ascii="Times New Roman" w:hAnsi="Times New Roman"/>
          <w:sz w:val="24"/>
          <w:lang w:eastAsia="hr-HR"/>
        </w:rPr>
        <w:t>URBROJ: 711-02-01/07-2024-06</w:t>
      </w:r>
    </w:p>
    <w:p w14:paraId="25479A4A" w14:textId="77777777" w:rsidR="00C575E1" w:rsidRDefault="00E87AE7">
      <w:pPr>
        <w:tabs>
          <w:tab w:val="left" w:pos="7797"/>
        </w:tabs>
        <w:spacing w:after="0" w:line="240" w:lineRule="auto"/>
        <w:ind w:right="567"/>
        <w:jc w:val="both"/>
        <w:rPr>
          <w:rFonts w:ascii="Times New Roman" w:hAnsi="Times New Roman"/>
          <w:sz w:val="24"/>
        </w:rPr>
      </w:pPr>
      <w:r>
        <w:rPr>
          <w:rFonts w:ascii="Times New Roman" w:hAnsi="Times New Roman"/>
          <w:sz w:val="24"/>
        </w:rPr>
        <w:t>Zagreb, 21. lipnja 2024.</w:t>
      </w:r>
    </w:p>
    <w:p w14:paraId="46F6CDF7" w14:textId="77777777" w:rsidR="00C575E1" w:rsidRDefault="00C575E1">
      <w:pPr>
        <w:tabs>
          <w:tab w:val="left" w:pos="7797"/>
        </w:tabs>
        <w:spacing w:after="0" w:line="240" w:lineRule="auto"/>
        <w:ind w:right="567"/>
        <w:jc w:val="both"/>
        <w:rPr>
          <w:rFonts w:ascii="Times New Roman" w:hAnsi="Times New Roman"/>
          <w:sz w:val="24"/>
        </w:rPr>
      </w:pPr>
    </w:p>
    <w:p w14:paraId="054868B5" w14:textId="77777777" w:rsidR="00C575E1" w:rsidRDefault="00C575E1">
      <w:pPr>
        <w:tabs>
          <w:tab w:val="left" w:pos="7797"/>
        </w:tabs>
        <w:spacing w:after="0" w:line="240" w:lineRule="auto"/>
        <w:ind w:right="567"/>
        <w:jc w:val="both"/>
        <w:rPr>
          <w:rFonts w:ascii="Times New Roman" w:hAnsi="Times New Roman"/>
          <w:sz w:val="24"/>
          <w:highlight w:val="yellow"/>
        </w:rPr>
      </w:pPr>
    </w:p>
    <w:p w14:paraId="45E5916A" w14:textId="25275822" w:rsidR="00C575E1" w:rsidRDefault="00E87AE7">
      <w:pPr>
        <w:spacing w:after="0"/>
        <w:jc w:val="both"/>
        <w:rPr>
          <w:rFonts w:ascii="Times New Roman" w:hAnsi="Times New Roman"/>
          <w:b/>
          <w:sz w:val="24"/>
        </w:rPr>
      </w:pPr>
      <w:r>
        <w:rPr>
          <w:rFonts w:ascii="Times New Roman" w:hAnsi="Times New Roman"/>
          <w:b/>
          <w:sz w:val="24"/>
        </w:rPr>
        <w:t>Povjerenstvo za odlučivanje o sukobu interesa</w:t>
      </w:r>
      <w:r>
        <w:rPr>
          <w:rFonts w:ascii="Times New Roman" w:hAnsi="Times New Roman"/>
          <w:sz w:val="24"/>
        </w:rPr>
        <w:t xml:space="preserve"> (u daljnjem tekstu: Povjerenstvo), OIB: 60383416394, u sastavu Ines Pavlačić, kao zamjenice predsjednice Povjerenstva, Nike Nodilo Lakoš, Igora Lukača i Ane Poljak, kao članova Povjerenstva, na temelju članka 32. stavka 1. podstavka 3. i članka 44. stavka 2. Zakona o sprječavanju sukoba interesa („Narodne novine“, broj 143/21. i 36/24., u daljnjem tekstu: ZSSI), </w:t>
      </w:r>
      <w:r>
        <w:rPr>
          <w:rFonts w:ascii="Times New Roman" w:hAnsi="Times New Roman"/>
          <w:b/>
          <w:sz w:val="24"/>
        </w:rPr>
        <w:t xml:space="preserve">u predmetu obveznika Tončija Miline, OIB: </w:t>
      </w:r>
      <w:r w:rsidR="00347185" w:rsidRPr="00347185">
        <w:rPr>
          <w:rFonts w:ascii="Times New Roman" w:hAnsi="Times New Roman"/>
          <w:b/>
          <w:sz w:val="24"/>
          <w:highlight w:val="black"/>
        </w:rPr>
        <w:t>………………</w:t>
      </w:r>
      <w:r>
        <w:rPr>
          <w:rFonts w:ascii="Times New Roman" w:hAnsi="Times New Roman"/>
          <w:b/>
          <w:sz w:val="24"/>
        </w:rPr>
        <w:t xml:space="preserve">, člana uprave-direktora trgovačkog društva MINDEL ODVODNJA d.o.o. za javnu odvodnju, </w:t>
      </w:r>
      <w:r>
        <w:rPr>
          <w:rFonts w:ascii="Times New Roman" w:hAnsi="Times New Roman"/>
          <w:sz w:val="24"/>
        </w:rPr>
        <w:t>na 54. sjednici održanoj 21. lipnja 2024., donosi sljedeću</w:t>
      </w:r>
    </w:p>
    <w:p w14:paraId="1308690D" w14:textId="77777777" w:rsidR="00C575E1" w:rsidRDefault="00E87AE7">
      <w:pPr>
        <w:spacing w:after="0"/>
        <w:jc w:val="both"/>
        <w:rPr>
          <w:rFonts w:ascii="Times New Roman" w:hAnsi="Times New Roman"/>
          <w:sz w:val="24"/>
        </w:rPr>
      </w:pPr>
      <w:r>
        <w:rPr>
          <w:rFonts w:ascii="Times New Roman" w:hAnsi="Times New Roman"/>
          <w:sz w:val="24"/>
        </w:rPr>
        <w:tab/>
      </w:r>
    </w:p>
    <w:p w14:paraId="44B2CD85" w14:textId="77777777" w:rsidR="00C575E1" w:rsidRDefault="00E87AE7">
      <w:pPr>
        <w:tabs>
          <w:tab w:val="left" w:pos="1035"/>
          <w:tab w:val="center" w:pos="4536"/>
        </w:tabs>
        <w:spacing w:after="0"/>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b/>
          <w:sz w:val="24"/>
        </w:rPr>
        <w:t>ODLUKU</w:t>
      </w:r>
    </w:p>
    <w:p w14:paraId="1A835131" w14:textId="77777777" w:rsidR="00C575E1" w:rsidRDefault="00C575E1">
      <w:pPr>
        <w:tabs>
          <w:tab w:val="left" w:pos="1035"/>
          <w:tab w:val="center" w:pos="4536"/>
        </w:tabs>
        <w:spacing w:after="0"/>
        <w:jc w:val="both"/>
        <w:rPr>
          <w:rFonts w:ascii="Times New Roman" w:hAnsi="Times New Roman"/>
          <w:b/>
          <w:sz w:val="24"/>
        </w:rPr>
      </w:pPr>
    </w:p>
    <w:p w14:paraId="3ACE9187" w14:textId="77777777" w:rsidR="00C575E1" w:rsidRDefault="00E87AE7">
      <w:pPr>
        <w:pStyle w:val="Odlomakpopisa"/>
        <w:numPr>
          <w:ilvl w:val="0"/>
          <w:numId w:val="18"/>
        </w:numPr>
        <w:jc w:val="both"/>
        <w:rPr>
          <w:rFonts w:ascii="Times New Roman" w:hAnsi="Times New Roman"/>
          <w:b/>
          <w:color w:val="000000"/>
          <w:sz w:val="24"/>
        </w:rPr>
      </w:pPr>
      <w:r>
        <w:rPr>
          <w:rFonts w:ascii="Times New Roman" w:hAnsi="Times New Roman"/>
          <w:b/>
          <w:sz w:val="24"/>
        </w:rPr>
        <w:t xml:space="preserve">Propustom da po pisanom pozivu Povjerenstva podnese pravilno i potpuno ispunjeni važeći obrazac imovinske kartice povodom stupanja na dužnost 3. rujna 2022. sa stanjem na dan 3. listopad 2022., obveznik </w:t>
      </w:r>
      <w:bookmarkStart w:id="0" w:name="_Hlk169849575"/>
      <w:r>
        <w:rPr>
          <w:rFonts w:ascii="Times New Roman" w:hAnsi="Times New Roman"/>
          <w:b/>
          <w:sz w:val="24"/>
        </w:rPr>
        <w:t>Tonči Milina, član uprave-direktor trgovačkog društva MINDEL ODVODNJA d.o.o. za javnu odvodnju</w:t>
      </w:r>
      <w:bookmarkEnd w:id="0"/>
      <w:r>
        <w:rPr>
          <w:rFonts w:ascii="Times New Roman" w:hAnsi="Times New Roman"/>
          <w:b/>
          <w:sz w:val="24"/>
        </w:rPr>
        <w:t xml:space="preserve">, počinio je povredu članka 10. stavka 2. </w:t>
      </w:r>
      <w:r>
        <w:rPr>
          <w:rFonts w:ascii="Times New Roman" w:hAnsi="Times New Roman"/>
          <w:b/>
          <w:color w:val="000000"/>
          <w:sz w:val="24"/>
        </w:rPr>
        <w:t>ZSSI-a.</w:t>
      </w:r>
    </w:p>
    <w:p w14:paraId="21B1C1E2" w14:textId="77777777" w:rsidR="00C575E1" w:rsidRDefault="00C575E1">
      <w:pPr>
        <w:pStyle w:val="Odlomakpopisa"/>
        <w:jc w:val="both"/>
        <w:rPr>
          <w:rFonts w:ascii="Times New Roman" w:hAnsi="Times New Roman"/>
          <w:b/>
          <w:color w:val="000000"/>
          <w:sz w:val="24"/>
        </w:rPr>
      </w:pPr>
    </w:p>
    <w:p w14:paraId="3B67CCC6" w14:textId="77777777" w:rsidR="00C575E1" w:rsidRDefault="00E87AE7">
      <w:pPr>
        <w:pStyle w:val="Odlomakpopisa"/>
        <w:numPr>
          <w:ilvl w:val="0"/>
          <w:numId w:val="18"/>
        </w:numPr>
        <w:jc w:val="both"/>
        <w:rPr>
          <w:rFonts w:ascii="Times New Roman" w:hAnsi="Times New Roman"/>
          <w:b/>
          <w:color w:val="000000"/>
          <w:sz w:val="24"/>
        </w:rPr>
      </w:pPr>
      <w:r>
        <w:rPr>
          <w:rFonts w:ascii="Times New Roman" w:hAnsi="Times New Roman"/>
          <w:b/>
          <w:sz w:val="24"/>
        </w:rPr>
        <w:t xml:space="preserve">Propustom podnošenja pravilno i potpuno ispunjenoga važećeg obrasca imovinske kartice za 2022. godinu do 31. siječnja 2023. sa stanjem na dan 31.12.2022., obveznik Tonči Milina, član uprave-direktor trgovačkog društva MINDEL ODVODNJA d.o.o. za javnu odvodnju, počinio je povredu članka 10. stavka 4. </w:t>
      </w:r>
      <w:r>
        <w:rPr>
          <w:rFonts w:ascii="Times New Roman" w:hAnsi="Times New Roman"/>
          <w:b/>
          <w:color w:val="000000"/>
          <w:sz w:val="24"/>
        </w:rPr>
        <w:t>ZSSI-a.</w:t>
      </w:r>
    </w:p>
    <w:p w14:paraId="1827A152" w14:textId="77777777" w:rsidR="00C575E1" w:rsidRDefault="00E87AE7">
      <w:pPr>
        <w:numPr>
          <w:ilvl w:val="0"/>
          <w:numId w:val="18"/>
        </w:numPr>
        <w:spacing w:after="0"/>
        <w:jc w:val="both"/>
        <w:rPr>
          <w:rFonts w:ascii="Times New Roman" w:hAnsi="Times New Roman"/>
          <w:b/>
          <w:sz w:val="24"/>
        </w:rPr>
      </w:pPr>
      <w:r>
        <w:rPr>
          <w:rFonts w:ascii="Times New Roman" w:hAnsi="Times New Roman"/>
          <w:b/>
          <w:sz w:val="24"/>
        </w:rPr>
        <w:t>Za povrede ZSSI-a, opisane pod točkom I. i II. ove izreke, obvezniku Tončiju Milini izriče se novčana sankcija u iznosu od 531,00 euro.</w:t>
      </w:r>
    </w:p>
    <w:p w14:paraId="43649504" w14:textId="77777777" w:rsidR="00C575E1" w:rsidRDefault="00C575E1">
      <w:pPr>
        <w:spacing w:after="0"/>
        <w:jc w:val="both"/>
        <w:rPr>
          <w:rFonts w:ascii="Times New Roman" w:hAnsi="Times New Roman"/>
          <w:b/>
          <w:sz w:val="24"/>
        </w:rPr>
      </w:pPr>
    </w:p>
    <w:p w14:paraId="04B58636" w14:textId="013C77A7" w:rsidR="00C575E1" w:rsidRDefault="00E87AE7">
      <w:pPr>
        <w:pStyle w:val="Odlomakpopisa"/>
        <w:numPr>
          <w:ilvl w:val="0"/>
          <w:numId w:val="18"/>
        </w:numPr>
        <w:spacing w:after="0"/>
        <w:jc w:val="both"/>
        <w:rPr>
          <w:rFonts w:ascii="Times New Roman" w:hAnsi="Times New Roman"/>
          <w:b/>
          <w:sz w:val="24"/>
        </w:rPr>
      </w:pPr>
      <w:r>
        <w:rPr>
          <w:rFonts w:ascii="Times New Roman" w:hAnsi="Times New Roman"/>
          <w:b/>
          <w:sz w:val="24"/>
        </w:rPr>
        <w:t>Nalaže se obvezniku Tončiju Milini da u roku od 15 dana od dostave ove Odluke uplati novčanu sankciju iz točke III. ove izreke na račun prihoda Državnog proračuna Republike Hrvatske br. HR1210010051863000160, model: HR68, poziv na broj: 6190-</w:t>
      </w:r>
      <w:r w:rsidR="00347185" w:rsidRPr="00347185">
        <w:rPr>
          <w:rFonts w:ascii="Times New Roman" w:hAnsi="Times New Roman"/>
          <w:b/>
          <w:sz w:val="24"/>
          <w:highlight w:val="black"/>
        </w:rPr>
        <w:t>……………………</w:t>
      </w:r>
      <w:r>
        <w:rPr>
          <w:rFonts w:ascii="Times New Roman" w:hAnsi="Times New Roman"/>
          <w:b/>
          <w:sz w:val="24"/>
        </w:rPr>
        <w:t>-24023.</w:t>
      </w:r>
    </w:p>
    <w:p w14:paraId="42EA6B3B" w14:textId="77777777" w:rsidR="00C575E1" w:rsidRDefault="00C575E1">
      <w:pPr>
        <w:spacing w:after="0"/>
        <w:jc w:val="both"/>
        <w:rPr>
          <w:rFonts w:ascii="Times New Roman" w:hAnsi="Times New Roman"/>
          <w:b/>
          <w:sz w:val="24"/>
        </w:rPr>
      </w:pPr>
    </w:p>
    <w:p w14:paraId="36209751" w14:textId="77777777" w:rsidR="00C575E1" w:rsidRDefault="00E87AE7">
      <w:pPr>
        <w:pStyle w:val="Odlomakpopisa"/>
        <w:numPr>
          <w:ilvl w:val="0"/>
          <w:numId w:val="18"/>
        </w:numPr>
        <w:spacing w:after="0"/>
        <w:jc w:val="both"/>
        <w:rPr>
          <w:rFonts w:ascii="Times New Roman" w:hAnsi="Times New Roman"/>
          <w:b/>
          <w:sz w:val="24"/>
        </w:rPr>
      </w:pPr>
      <w:r>
        <w:rPr>
          <w:rFonts w:ascii="Times New Roman" w:hAnsi="Times New Roman"/>
          <w:b/>
          <w:sz w:val="24"/>
        </w:rPr>
        <w:t xml:space="preserve">Ako obveznik novčanu sankciju iz točke III.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w:t>
      </w:r>
      <w:r>
        <w:rPr>
          <w:rFonts w:ascii="Times New Roman" w:hAnsi="Times New Roman"/>
          <w:b/>
          <w:sz w:val="24"/>
        </w:rPr>
        <w:lastRenderedPageBreak/>
        <w:t xml:space="preserve">neto mjesečne plaće obveznika, kao i na imovini obveznika. Izvršnu odluku Povjerenstvo će radi provedbe dostaviti službi koja obavlja obračun plaće obvezniku. </w:t>
      </w:r>
    </w:p>
    <w:p w14:paraId="1B59D2F3" w14:textId="77777777" w:rsidR="00C575E1" w:rsidRDefault="00C575E1">
      <w:pPr>
        <w:spacing w:after="0"/>
        <w:jc w:val="both"/>
        <w:rPr>
          <w:rFonts w:ascii="Times New Roman" w:hAnsi="Times New Roman"/>
          <w:b/>
          <w:sz w:val="24"/>
        </w:rPr>
      </w:pPr>
    </w:p>
    <w:p w14:paraId="5FFE638E" w14:textId="77777777" w:rsidR="00C575E1" w:rsidRDefault="00E87AE7">
      <w:pPr>
        <w:pStyle w:val="Odlomakpopisa"/>
        <w:numPr>
          <w:ilvl w:val="0"/>
          <w:numId w:val="18"/>
        </w:numPr>
        <w:spacing w:after="0"/>
        <w:jc w:val="both"/>
        <w:rPr>
          <w:rFonts w:ascii="Times New Roman" w:hAnsi="Times New Roman"/>
          <w:b/>
          <w:sz w:val="24"/>
        </w:rPr>
      </w:pPr>
      <w:r>
        <w:rPr>
          <w:rFonts w:ascii="Times New Roman" w:hAnsi="Times New Roman"/>
          <w:b/>
          <w:sz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3D3E3007" w14:textId="77777777" w:rsidR="00C575E1" w:rsidRDefault="00C575E1">
      <w:pPr>
        <w:spacing w:after="0"/>
        <w:jc w:val="both"/>
        <w:rPr>
          <w:rFonts w:ascii="Times New Roman" w:hAnsi="Times New Roman"/>
          <w:b/>
          <w:sz w:val="24"/>
        </w:rPr>
      </w:pPr>
    </w:p>
    <w:p w14:paraId="15C55689" w14:textId="77777777" w:rsidR="00C575E1" w:rsidRDefault="00E87AE7">
      <w:pPr>
        <w:spacing w:after="0"/>
        <w:jc w:val="center"/>
        <w:rPr>
          <w:rFonts w:ascii="Times New Roman" w:hAnsi="Times New Roman"/>
          <w:sz w:val="24"/>
        </w:rPr>
      </w:pPr>
      <w:r>
        <w:rPr>
          <w:rFonts w:ascii="Times New Roman" w:hAnsi="Times New Roman"/>
          <w:sz w:val="24"/>
        </w:rPr>
        <w:t>Obrazloženje</w:t>
      </w:r>
    </w:p>
    <w:p w14:paraId="4E957F04" w14:textId="77777777" w:rsidR="00C575E1" w:rsidRDefault="00C575E1">
      <w:pPr>
        <w:spacing w:after="0"/>
        <w:jc w:val="both"/>
        <w:rPr>
          <w:rFonts w:ascii="Times New Roman" w:hAnsi="Times New Roman"/>
          <w:sz w:val="24"/>
          <w:highlight w:val="yellow"/>
        </w:rPr>
      </w:pPr>
    </w:p>
    <w:p w14:paraId="58368D99" w14:textId="77777777" w:rsidR="00C575E1" w:rsidRDefault="00E87AE7">
      <w:pPr>
        <w:spacing w:after="0"/>
        <w:ind w:firstLine="708"/>
        <w:jc w:val="both"/>
        <w:rPr>
          <w:rFonts w:ascii="Times New Roman" w:hAnsi="Times New Roman"/>
          <w:sz w:val="24"/>
        </w:rPr>
      </w:pPr>
      <w:bookmarkStart w:id="1" w:name="_heading=h.gjdgxs"/>
      <w:bookmarkEnd w:id="1"/>
      <w:r>
        <w:rPr>
          <w:rFonts w:ascii="Times New Roman" w:hAnsi="Times New Roman"/>
          <w:sz w:val="24"/>
        </w:rPr>
        <w:t>Povjerenstvo je u postupku prethodne (administrativne) provjere za propust podnošenja imovinske kartice u propisanom roku, za obveznika</w:t>
      </w:r>
      <w:r>
        <w:t xml:space="preserve"> </w:t>
      </w:r>
      <w:r>
        <w:rPr>
          <w:rFonts w:ascii="Times New Roman" w:hAnsi="Times New Roman"/>
          <w:sz w:val="24"/>
        </w:rPr>
        <w:t xml:space="preserve">Tončija Milinu, člana uprave-direktora trgovačkog društva MINDEL ODVODNJA d.o.o. za javnu odvodnju, utvrdilo da navedeni obveznik nije podnio imovinsku karticu sukladno članku 10. stavku 2. ZSSI-a. </w:t>
      </w:r>
    </w:p>
    <w:p w14:paraId="3FE31BEC" w14:textId="77777777" w:rsidR="00C575E1" w:rsidRDefault="00C575E1">
      <w:pPr>
        <w:spacing w:after="0"/>
        <w:ind w:firstLine="708"/>
        <w:jc w:val="both"/>
        <w:rPr>
          <w:rFonts w:ascii="Times New Roman" w:hAnsi="Times New Roman"/>
          <w:sz w:val="24"/>
        </w:rPr>
      </w:pPr>
    </w:p>
    <w:p w14:paraId="06B2F173" w14:textId="77777777" w:rsidR="00C575E1" w:rsidRDefault="00E87AE7">
      <w:pPr>
        <w:spacing w:after="0"/>
        <w:ind w:firstLine="708"/>
        <w:jc w:val="both"/>
        <w:rPr>
          <w:rFonts w:ascii="Times New Roman" w:hAnsi="Times New Roman"/>
          <w:sz w:val="24"/>
        </w:rPr>
      </w:pPr>
      <w:r>
        <w:rPr>
          <w:rFonts w:ascii="Times New Roman" w:hAnsi="Times New Roman"/>
          <w:sz w:val="24"/>
        </w:rPr>
        <w:t xml:space="preserve">Stoga je Povjerenstvo, temeljem članka 32. stavka 1. podstavka 2. ZSSI-a, zaključkom broj: </w:t>
      </w:r>
      <w:bookmarkStart w:id="2" w:name="_Hlk139622947"/>
      <w:r>
        <w:rPr>
          <w:rFonts w:ascii="Times New Roman" w:hAnsi="Times New Roman"/>
          <w:sz w:val="24"/>
        </w:rPr>
        <w:t>711-I-1662-IK-206/23-02-16 od 9. kolovoza 2023.</w:t>
      </w:r>
      <w:bookmarkEnd w:id="2"/>
      <w:r>
        <w:rPr>
          <w:rFonts w:ascii="Times New Roman" w:hAnsi="Times New Roman"/>
          <w:sz w:val="24"/>
        </w:rPr>
        <w:t xml:space="preserve"> pozvalo obveznika da u roku od 15 dana od dana primitka tog zaključka ispuni obvezu podnošenja pravilno i potpuno ispunjenog važećeg obrasca imovinske kartice obveznika povodom stupanja na dužnost 3. rujna 2022. sa stanjem na dan 3. listopad 2022., sukladno uputi iz obrazloženja tog zaključka. Istim zaključkom obveznik je upozoren da će Povjerenstvo, ako isti ne postupi po navedenom pozivu Povjerenstva, protiv obveznika pokrenuti postupak zbog povrede odredbi o imovinskoj kartici. Tim zaključkom Povjerenstvo je upozorilo obveznika i na nepodnošenje imovinske kartica za 2022. godinu. </w:t>
      </w:r>
    </w:p>
    <w:p w14:paraId="19E56B8C" w14:textId="77777777" w:rsidR="00C575E1" w:rsidRDefault="00C575E1">
      <w:pPr>
        <w:spacing w:after="0"/>
        <w:ind w:firstLine="708"/>
        <w:jc w:val="both"/>
        <w:rPr>
          <w:rFonts w:ascii="Times New Roman" w:hAnsi="Times New Roman"/>
          <w:sz w:val="24"/>
        </w:rPr>
      </w:pPr>
    </w:p>
    <w:p w14:paraId="115B9821" w14:textId="77777777" w:rsidR="00C575E1" w:rsidRDefault="00E87AE7">
      <w:pPr>
        <w:spacing w:after="0"/>
        <w:ind w:firstLine="708"/>
        <w:jc w:val="both"/>
        <w:rPr>
          <w:rFonts w:ascii="Times New Roman" w:hAnsi="Times New Roman"/>
          <w:sz w:val="24"/>
        </w:rPr>
      </w:pPr>
      <w:r>
        <w:rPr>
          <w:rFonts w:ascii="Times New Roman" w:hAnsi="Times New Roman"/>
          <w:sz w:val="24"/>
        </w:rPr>
        <w:t>Obveznik je navedeni zaključak, prema priloženoj dostavnici, zaprimio 18. kolovoza 2023. Povjerenstvo je službenom bilješkom od 26. rujna 2023. utvrdilo da obveznik nije po proteku ostavljenog roka iz zaključka podnio imovinsku karticu povodom prvog stupanja na dužnost, niti je to učinio do dana sastavljanja te službene bilješke, kao i da do 31. siječnja 2023. nije podnio niti imovinsku karticu za 2022. godinu.</w:t>
      </w:r>
    </w:p>
    <w:p w14:paraId="01E7DB4C" w14:textId="77777777" w:rsidR="00C575E1" w:rsidRDefault="00C575E1">
      <w:pPr>
        <w:spacing w:after="0"/>
        <w:ind w:firstLine="708"/>
        <w:jc w:val="both"/>
        <w:rPr>
          <w:rFonts w:ascii="Times New Roman" w:hAnsi="Times New Roman"/>
          <w:sz w:val="24"/>
        </w:rPr>
      </w:pPr>
    </w:p>
    <w:p w14:paraId="36D493A7" w14:textId="77777777" w:rsidR="00C575E1" w:rsidRDefault="00E87AE7">
      <w:pPr>
        <w:spacing w:after="0"/>
        <w:ind w:firstLine="708"/>
        <w:jc w:val="both"/>
        <w:rPr>
          <w:rFonts w:ascii="Times New Roman" w:hAnsi="Times New Roman"/>
          <w:sz w:val="24"/>
        </w:rPr>
      </w:pPr>
      <w:r>
        <w:rPr>
          <w:rFonts w:ascii="Times New Roman" w:hAnsi="Times New Roman"/>
          <w:sz w:val="24"/>
        </w:rPr>
        <w:t xml:space="preserve">Slijedom navedenog, Povjerenstvo je na stručnom radnom sastanku Povjerenstva održanom dana 8. svibnja 2024. utvrdilo postojanje pretpostavki za pokretanje postupka vezano za moguću povredu članka 10. stavka 2. i 4. ZSSI-a te je o istome obavijestilo obveznika obaviješću oznake KLASA: P-240/23, URBROJ: 711-02-01/04-2024-03 od 8. svibnja 2024. Navedenom obavijesti obveznik je pozvan da se u roku od 15 dana od dostave obavijesti očituje na razloge za pokretanje postupka te na činjenična utvrđenja iz te obavijesti.  </w:t>
      </w:r>
    </w:p>
    <w:p w14:paraId="14314B7C" w14:textId="77777777" w:rsidR="00C575E1" w:rsidRDefault="00C575E1">
      <w:pPr>
        <w:spacing w:after="0"/>
        <w:ind w:firstLine="708"/>
        <w:jc w:val="both"/>
        <w:rPr>
          <w:rFonts w:ascii="Times New Roman" w:hAnsi="Times New Roman"/>
          <w:sz w:val="24"/>
        </w:rPr>
      </w:pPr>
    </w:p>
    <w:p w14:paraId="4229880C" w14:textId="77777777" w:rsidR="00C575E1" w:rsidRDefault="00E87AE7">
      <w:pPr>
        <w:spacing w:after="0"/>
        <w:ind w:firstLine="708"/>
        <w:jc w:val="both"/>
        <w:rPr>
          <w:rFonts w:ascii="Times New Roman" w:hAnsi="Times New Roman"/>
          <w:sz w:val="24"/>
        </w:rPr>
      </w:pPr>
      <w:r>
        <w:rPr>
          <w:rFonts w:ascii="Times New Roman" w:hAnsi="Times New Roman"/>
          <w:sz w:val="24"/>
        </w:rPr>
        <w:t xml:space="preserve">Obveznik je u očitovanju od 29. svibnja 2024. naveo da je 25. rujna 2023. podnio imovinsku karticu povodom stupanja na dužnost direktora </w:t>
      </w:r>
      <w:proofErr w:type="spellStart"/>
      <w:r>
        <w:rPr>
          <w:rFonts w:ascii="Times New Roman" w:hAnsi="Times New Roman"/>
          <w:sz w:val="24"/>
        </w:rPr>
        <w:t>Mindel</w:t>
      </w:r>
      <w:proofErr w:type="spellEnd"/>
      <w:r>
        <w:rPr>
          <w:rFonts w:ascii="Times New Roman" w:hAnsi="Times New Roman"/>
          <w:sz w:val="24"/>
        </w:rPr>
        <w:t xml:space="preserve"> odvodnja d.o.o. za javnu odvodnju. Kako do tada nikada nije bio na funkciji obveznika, nije mu bila namjera izbjegavanje zakonske obveze u vidu podnošenja imovinske kartice, već se isključivo radi o </w:t>
      </w:r>
      <w:r>
        <w:rPr>
          <w:rFonts w:ascii="Times New Roman" w:hAnsi="Times New Roman"/>
          <w:sz w:val="24"/>
        </w:rPr>
        <w:lastRenderedPageBreak/>
        <w:t xml:space="preserve">previdu i kašnjenju. Funkciju obnaša volonterski te ne prima nikakvu naknadu za istu, a u firmi KTD </w:t>
      </w:r>
      <w:proofErr w:type="spellStart"/>
      <w:r>
        <w:rPr>
          <w:rFonts w:ascii="Times New Roman" w:hAnsi="Times New Roman"/>
          <w:sz w:val="24"/>
        </w:rPr>
        <w:t>Mindel</w:t>
      </w:r>
      <w:proofErr w:type="spellEnd"/>
      <w:r>
        <w:rPr>
          <w:rFonts w:ascii="Times New Roman" w:hAnsi="Times New Roman"/>
          <w:sz w:val="24"/>
        </w:rPr>
        <w:t xml:space="preserve"> d.o.o. je zaposlen kao djelatnik komunalnog poduzeća na radnom mjestu zidara još od 2006. godine. Obzirom da prima plaću temeljem radnog odnosa, obveznik se odrekao prihoda direktorske pozicije. Dalje, obveznik navodi da je zbog nespojivih djelatnosti Komunalnog poduzeća bilo nužno zakonski odvojiti djelatnost odvodnje od gospodarenja otpadom pa je zbog toga osnovana firma </w:t>
      </w:r>
      <w:proofErr w:type="spellStart"/>
      <w:r>
        <w:rPr>
          <w:rFonts w:ascii="Times New Roman" w:hAnsi="Times New Roman"/>
          <w:sz w:val="24"/>
        </w:rPr>
        <w:t>Mindel</w:t>
      </w:r>
      <w:proofErr w:type="spellEnd"/>
      <w:r>
        <w:rPr>
          <w:rFonts w:ascii="Times New Roman" w:hAnsi="Times New Roman"/>
          <w:sz w:val="24"/>
        </w:rPr>
        <w:t xml:space="preserve"> odvodnja d.o.o. Direktor Antonio </w:t>
      </w:r>
      <w:proofErr w:type="spellStart"/>
      <w:r>
        <w:rPr>
          <w:rFonts w:ascii="Times New Roman" w:hAnsi="Times New Roman"/>
          <w:sz w:val="24"/>
        </w:rPr>
        <w:t>Markušić</w:t>
      </w:r>
      <w:proofErr w:type="spellEnd"/>
      <w:r>
        <w:rPr>
          <w:rFonts w:ascii="Times New Roman" w:hAnsi="Times New Roman"/>
          <w:sz w:val="24"/>
        </w:rPr>
        <w:t xml:space="preserve">, kao direktor Komunalnog poduzeća KTD </w:t>
      </w:r>
      <w:proofErr w:type="spellStart"/>
      <w:r>
        <w:rPr>
          <w:rFonts w:ascii="Times New Roman" w:hAnsi="Times New Roman"/>
          <w:sz w:val="24"/>
        </w:rPr>
        <w:t>Mindel</w:t>
      </w:r>
      <w:proofErr w:type="spellEnd"/>
      <w:r>
        <w:rPr>
          <w:rFonts w:ascii="Times New Roman" w:hAnsi="Times New Roman"/>
          <w:sz w:val="24"/>
        </w:rPr>
        <w:t xml:space="preserve"> d.o.o., nije mogao nastaviti biti direktor i druge firme u vlasništvu Općine, stoga je obveznik prihvatio da bude imenovan volonterski kako bi firma mogla nastaviti poslovati bez </w:t>
      </w:r>
      <w:proofErr w:type="spellStart"/>
      <w:r>
        <w:rPr>
          <w:rFonts w:ascii="Times New Roman" w:hAnsi="Times New Roman"/>
          <w:sz w:val="24"/>
        </w:rPr>
        <w:t>bez</w:t>
      </w:r>
      <w:proofErr w:type="spellEnd"/>
      <w:r>
        <w:rPr>
          <w:rFonts w:ascii="Times New Roman" w:hAnsi="Times New Roman"/>
          <w:sz w:val="24"/>
        </w:rPr>
        <w:t xml:space="preserve"> dodatnih troškova nove direktorske pozicije jer je već bio zaposlen u KTD </w:t>
      </w:r>
      <w:proofErr w:type="spellStart"/>
      <w:r>
        <w:rPr>
          <w:rFonts w:ascii="Times New Roman" w:hAnsi="Times New Roman"/>
          <w:sz w:val="24"/>
        </w:rPr>
        <w:t>Mindel</w:t>
      </w:r>
      <w:proofErr w:type="spellEnd"/>
      <w:r>
        <w:rPr>
          <w:rFonts w:ascii="Times New Roman" w:hAnsi="Times New Roman"/>
          <w:sz w:val="24"/>
        </w:rPr>
        <w:t xml:space="preserve">. Za potrebe podnošenja imovinske kartice otvorio je e-mail adresu te do tada nije koristio elektroničku poštu ni e-komunikaciju, što je dodatno otežalo njegovo snalaženje u obvezama. Stoga je bilo potrebno dodatno vrijeme za kreiranje računa na stranici Povjerenstva jer je analogno slao zahtjev za otvaranje računa, što je sve iziskivalo dodatno vrijeme. Dalje navodi da je 4. travnja 2024. podnio imovinsku karticu sa svrhom </w:t>
      </w:r>
      <w:r>
        <w:rPr>
          <w:rFonts w:ascii="Times New Roman" w:hAnsi="Times New Roman"/>
          <w:i/>
          <w:sz w:val="24"/>
        </w:rPr>
        <w:t>Godišnje obveze podnošenja</w:t>
      </w:r>
      <w:r>
        <w:rPr>
          <w:rFonts w:ascii="Times New Roman" w:hAnsi="Times New Roman"/>
          <w:sz w:val="24"/>
        </w:rPr>
        <w:t xml:space="preserve"> za 2023., u čemu je također zakasnio, ali je reagirao odmah nakon primitka obavijesti o neizvršenju obveze. Zaključno navodi da će ubuduće svakako paziti na dostavu imovinske kartice u zakonskim rokovima.</w:t>
      </w:r>
    </w:p>
    <w:p w14:paraId="4E551072" w14:textId="77777777" w:rsidR="00C575E1" w:rsidRDefault="00C575E1">
      <w:pPr>
        <w:spacing w:after="0"/>
        <w:jc w:val="both"/>
        <w:rPr>
          <w:rFonts w:ascii="Times New Roman" w:hAnsi="Times New Roman"/>
          <w:sz w:val="24"/>
        </w:rPr>
      </w:pPr>
    </w:p>
    <w:p w14:paraId="3064C852" w14:textId="77777777" w:rsidR="00C575E1" w:rsidRDefault="00E87AE7">
      <w:pPr>
        <w:spacing w:after="0"/>
        <w:ind w:firstLine="708"/>
        <w:jc w:val="both"/>
        <w:rPr>
          <w:rFonts w:ascii="Times New Roman" w:hAnsi="Times New Roman"/>
          <w:sz w:val="24"/>
        </w:rPr>
      </w:pPr>
      <w:r>
        <w:rPr>
          <w:rFonts w:ascii="Times New Roman" w:hAnsi="Times New Roman"/>
          <w:sz w:val="24"/>
        </w:rPr>
        <w:t>U tijeku postupka Povjerenstvo je izvršilo uvid u zaključak Povjerenstva broj: 711-I-1662-IK-206/23-02-16 od 9. kolovoza 2023. s preslikom dostavnice, službenu bilješku Povjerenstva od 26. rujna 2023. i 6. studenog 2023., obavijest Povjerenstva KLASA: P-240/23, URBROJ: 711-02-01/04-2024-03 od 8. svibnja 2024., očitovanje obveznika Tončija Miline od 29. svibnja 2024., zahtjev za otvaranjem korisničkog računa od 19. travnja 2023. te u Registar obveznika i Registar imovinskih kartica koje vodi i ustrojava Povjerenstvo.</w:t>
      </w:r>
    </w:p>
    <w:p w14:paraId="2565C2A3" w14:textId="77777777" w:rsidR="00C575E1" w:rsidRDefault="00C575E1">
      <w:pPr>
        <w:spacing w:after="0"/>
        <w:ind w:firstLine="708"/>
        <w:jc w:val="both"/>
        <w:rPr>
          <w:rFonts w:ascii="Times New Roman" w:hAnsi="Times New Roman"/>
          <w:sz w:val="24"/>
        </w:rPr>
      </w:pPr>
    </w:p>
    <w:p w14:paraId="4BE8C0AE" w14:textId="77777777" w:rsidR="00C575E1" w:rsidRDefault="00E87AE7">
      <w:pPr>
        <w:spacing w:after="0"/>
        <w:ind w:firstLine="708"/>
        <w:jc w:val="both"/>
        <w:rPr>
          <w:rFonts w:ascii="Times New Roman" w:hAnsi="Times New Roman"/>
          <w:sz w:val="24"/>
        </w:rPr>
      </w:pPr>
      <w:r>
        <w:rPr>
          <w:rFonts w:ascii="Times New Roman" w:hAnsi="Times New Roman"/>
          <w:sz w:val="24"/>
        </w:rPr>
        <w:t xml:space="preserve">Povjerenstvo ističe da je protiv obveznika Tončija Miline otvorilo predmet oznake P-467/23 u vezi nepodnošenja imovinske kartice za 2022. godinu u smislu članka 10. stavka 4. ZSSI-a, a povodom čega je već otvoren ovaj predmet oznake P-240/23. S obzirom da se oba predmeta odnose na istog obveznika, zatim da se isti temelje na identičnim činjenicama, kao i da je Povjerenstvo javnopravno tijelo nadležno za vođenje oba postupka, Povjerenstvo je zaključkom KLASA: P-467/23, URBROJ: 711-02-01/02-2024-4 od 13. lipnja 2024. spojilo predmete P-467/23 i P-240/23 te je odredilo da će se povodom istih voditi ovaj predmet P-240/23. </w:t>
      </w:r>
    </w:p>
    <w:p w14:paraId="3B34A868" w14:textId="77777777" w:rsidR="00C575E1" w:rsidRDefault="00C575E1">
      <w:pPr>
        <w:spacing w:after="0"/>
        <w:jc w:val="both"/>
        <w:rPr>
          <w:rFonts w:ascii="Times New Roman" w:hAnsi="Times New Roman"/>
          <w:sz w:val="24"/>
        </w:rPr>
      </w:pPr>
    </w:p>
    <w:p w14:paraId="6E2D6569" w14:textId="77777777" w:rsidR="00C575E1" w:rsidRDefault="00E87AE7">
      <w:pPr>
        <w:spacing w:after="0"/>
        <w:ind w:firstLine="708"/>
        <w:jc w:val="both"/>
        <w:rPr>
          <w:rFonts w:ascii="Times New Roman" w:hAnsi="Times New Roman"/>
          <w:sz w:val="24"/>
        </w:rPr>
      </w:pPr>
      <w:r>
        <w:rPr>
          <w:rFonts w:ascii="Times New Roman" w:hAnsi="Times New Roman"/>
          <w:sz w:val="24"/>
        </w:rPr>
        <w:t>Povjerenstvo je uvidom u Registar obveznika utvrdilo da Tonči Milina od 3. rujna 2022. obnaša dužnost člana uprave-direktora trgovačkog društva MINDEL ODVODNJA d.o.o. za javnu odvodnju. Uvidom u sudski registar Trgovačkog suda u Dubrovniku utvrđeno je da je jedini osnivač navedenoga trgovačkog društva Općina Lumbarda kao jedinica lokalne samouprave.</w:t>
      </w:r>
    </w:p>
    <w:p w14:paraId="5E985FDC" w14:textId="77777777" w:rsidR="00C575E1" w:rsidRDefault="00C575E1">
      <w:pPr>
        <w:spacing w:after="0"/>
        <w:ind w:firstLine="708"/>
        <w:jc w:val="both"/>
        <w:rPr>
          <w:rFonts w:ascii="Times New Roman" w:hAnsi="Times New Roman"/>
          <w:sz w:val="24"/>
        </w:rPr>
      </w:pPr>
    </w:p>
    <w:p w14:paraId="16A2585C" w14:textId="77777777" w:rsidR="00C575E1" w:rsidRDefault="00E87AE7">
      <w:pPr>
        <w:spacing w:after="0"/>
        <w:ind w:firstLine="708"/>
        <w:jc w:val="both"/>
        <w:rPr>
          <w:rFonts w:ascii="Times New Roman" w:hAnsi="Times New Roman"/>
          <w:sz w:val="24"/>
        </w:rPr>
      </w:pPr>
      <w:r>
        <w:rPr>
          <w:rFonts w:ascii="Times New Roman" w:hAnsi="Times New Roman"/>
          <w:sz w:val="24"/>
        </w:rPr>
        <w:t xml:space="preserve">Člankom 3. stavkom 1. točkom 40. ZSSI-a propisano je, između ostaloga, da su predsjednici i članovi uprava trgovačkih društava u kojima jedinice lokalne i područne </w:t>
      </w:r>
      <w:r>
        <w:rPr>
          <w:rFonts w:ascii="Times New Roman" w:hAnsi="Times New Roman"/>
          <w:sz w:val="24"/>
        </w:rPr>
        <w:lastRenderedPageBreak/>
        <w:t>(regionalne) samouprave imaju većinski udio obveznici u smislu toga Zakona pa je Tonči Milina kao obveznik dužan postupati sukladno odredbama ZSSI-a.</w:t>
      </w:r>
    </w:p>
    <w:p w14:paraId="6D24884D" w14:textId="77777777" w:rsidR="00C575E1" w:rsidRDefault="00C575E1">
      <w:pPr>
        <w:spacing w:after="0"/>
        <w:jc w:val="both"/>
        <w:rPr>
          <w:rFonts w:ascii="Times New Roman" w:hAnsi="Times New Roman"/>
          <w:sz w:val="24"/>
        </w:rPr>
      </w:pPr>
    </w:p>
    <w:p w14:paraId="2D8DEBBC" w14:textId="77777777" w:rsidR="00C575E1" w:rsidRDefault="00E87AE7">
      <w:pPr>
        <w:spacing w:after="0"/>
        <w:ind w:firstLine="708"/>
        <w:jc w:val="both"/>
        <w:rPr>
          <w:rFonts w:ascii="Times New Roman" w:hAnsi="Times New Roman"/>
          <w:sz w:val="24"/>
        </w:rPr>
      </w:pPr>
      <w:r>
        <w:rPr>
          <w:rFonts w:ascii="Times New Roman" w:hAnsi="Times New Roman"/>
          <w:sz w:val="24"/>
        </w:rPr>
        <w:t>Povjerenstvo je uvidom u Registar imovinskih kartica utvrdilo da je obveznik Tonči Milina 25. rujna 2023. podnio imovinsku karticu povodom stupanja na dužnost, kao i da je 4. travnja 2024. podnio imovinsku karticu za 2023. godinu, ali da nije podnio imovinsku karticu za 2022. godinu.</w:t>
      </w:r>
    </w:p>
    <w:p w14:paraId="38994538" w14:textId="77777777" w:rsidR="00C575E1" w:rsidRDefault="00C575E1">
      <w:pPr>
        <w:spacing w:after="0"/>
        <w:jc w:val="both"/>
        <w:rPr>
          <w:rFonts w:ascii="Times New Roman" w:hAnsi="Times New Roman"/>
          <w:sz w:val="24"/>
        </w:rPr>
      </w:pPr>
    </w:p>
    <w:p w14:paraId="6B01387A" w14:textId="77777777" w:rsidR="00C575E1" w:rsidRDefault="00E87AE7">
      <w:pPr>
        <w:spacing w:after="0"/>
        <w:ind w:firstLine="708"/>
        <w:jc w:val="both"/>
        <w:rPr>
          <w:rFonts w:ascii="Times New Roman" w:hAnsi="Times New Roman"/>
          <w:sz w:val="24"/>
        </w:rPr>
      </w:pPr>
      <w:r>
        <w:rPr>
          <w:rFonts w:ascii="Times New Roman" w:hAnsi="Times New Roman"/>
          <w:sz w:val="24"/>
        </w:rPr>
        <w:t>Člankom 10. stavkom 1. ZSSI-a propisano je da su obveznici dužni, bez obzira na to obnašaju li dužnost profesionalno, podnijeti Povjerenstvu imovinsku karticu koja sadrži podatke propisane tim Zakonom.</w:t>
      </w:r>
    </w:p>
    <w:p w14:paraId="28E096EF" w14:textId="77777777" w:rsidR="00C575E1" w:rsidRDefault="00C575E1">
      <w:pPr>
        <w:spacing w:after="0"/>
        <w:ind w:firstLine="705"/>
        <w:jc w:val="both"/>
        <w:rPr>
          <w:rFonts w:ascii="Times New Roman" w:hAnsi="Times New Roman"/>
          <w:sz w:val="24"/>
          <w:lang w:val="en-US"/>
        </w:rPr>
      </w:pPr>
    </w:p>
    <w:p w14:paraId="4B0B16FB" w14:textId="77777777" w:rsidR="00C575E1" w:rsidRDefault="00E87AE7">
      <w:pPr>
        <w:spacing w:after="0"/>
        <w:ind w:firstLine="708"/>
        <w:jc w:val="both"/>
        <w:rPr>
          <w:rFonts w:ascii="Times New Roman" w:hAnsi="Times New Roman"/>
          <w:sz w:val="24"/>
        </w:rPr>
      </w:pPr>
      <w:r>
        <w:rPr>
          <w:rFonts w:ascii="Times New Roman" w:hAnsi="Times New Roman"/>
          <w:sz w:val="24"/>
        </w:rPr>
        <w:t>Člankom 10. stavkom 2. ZSSI-a propisano je, između ostaloga, da su obveznici dužni podnijeti imovinsku karticu u roku od 30 dana od dana stupanja na dužnost.</w:t>
      </w:r>
    </w:p>
    <w:p w14:paraId="037D71F4" w14:textId="77777777" w:rsidR="00C575E1" w:rsidRDefault="00C575E1">
      <w:pPr>
        <w:spacing w:after="0"/>
        <w:ind w:firstLine="708"/>
        <w:jc w:val="both"/>
        <w:rPr>
          <w:rFonts w:ascii="Times New Roman" w:hAnsi="Times New Roman"/>
          <w:sz w:val="24"/>
        </w:rPr>
      </w:pPr>
    </w:p>
    <w:p w14:paraId="7E895E27" w14:textId="77777777" w:rsidR="00C575E1" w:rsidRDefault="00E87AE7">
      <w:pPr>
        <w:spacing w:after="0"/>
        <w:ind w:firstLine="708"/>
        <w:jc w:val="both"/>
        <w:rPr>
          <w:rFonts w:ascii="Times New Roman" w:hAnsi="Times New Roman"/>
          <w:sz w:val="24"/>
        </w:rPr>
      </w:pPr>
      <w:r>
        <w:rPr>
          <w:rFonts w:ascii="Times New Roman" w:hAnsi="Times New Roman"/>
          <w:sz w:val="24"/>
        </w:rPr>
        <w:t>Člankom 10. stavkom 4. ZSSI-a propisano je da su obveznici dužni jednom godišnje podnositi imovinske kartice Povjerenstvu do 31. siječnja tekuće godine za prethodnu godinu.</w:t>
      </w:r>
    </w:p>
    <w:p w14:paraId="76EDE711" w14:textId="77777777" w:rsidR="00C575E1" w:rsidRDefault="00C575E1">
      <w:pPr>
        <w:spacing w:after="0"/>
        <w:ind w:firstLine="708"/>
        <w:jc w:val="both"/>
        <w:rPr>
          <w:rFonts w:ascii="Times New Roman" w:hAnsi="Times New Roman"/>
          <w:sz w:val="24"/>
        </w:rPr>
      </w:pPr>
    </w:p>
    <w:p w14:paraId="1FC65C68" w14:textId="77777777" w:rsidR="00C575E1" w:rsidRDefault="00E87AE7">
      <w:pPr>
        <w:spacing w:after="0"/>
        <w:ind w:firstLine="708"/>
        <w:jc w:val="both"/>
        <w:rPr>
          <w:rFonts w:ascii="Times New Roman" w:hAnsi="Times New Roman"/>
          <w:sz w:val="24"/>
        </w:rPr>
      </w:pPr>
      <w:r>
        <w:rPr>
          <w:rFonts w:ascii="Times New Roman" w:hAnsi="Times New Roman"/>
          <w:sz w:val="24"/>
        </w:rPr>
        <w:t>Člankom 10. stavkom 5. ZSSI-a propisano je da ako obveznik podnosi imovinsku karticu nakon isteka rokova propisanih stavcima 2. i 3. toga članka, dužan je podnijeti imovinsku karticu sa stanjem na zadnji dan roka za podnošenje imovinske kartice koju je propustio podnijeti u roku, dok se imovinska kartica iz stavka 4. toga članka podnosi uvijek sa stanjem na zadnji dan prethodne godine.</w:t>
      </w:r>
    </w:p>
    <w:p w14:paraId="17D3C48C" w14:textId="77777777" w:rsidR="00C575E1" w:rsidRDefault="00C575E1">
      <w:pPr>
        <w:spacing w:after="0"/>
        <w:ind w:firstLine="708"/>
        <w:jc w:val="both"/>
        <w:rPr>
          <w:rFonts w:ascii="Times New Roman" w:hAnsi="Times New Roman"/>
          <w:sz w:val="24"/>
        </w:rPr>
      </w:pPr>
    </w:p>
    <w:p w14:paraId="3227DC44" w14:textId="77777777" w:rsidR="00C575E1" w:rsidRDefault="00E87AE7">
      <w:pPr>
        <w:spacing w:after="0"/>
        <w:ind w:firstLine="708"/>
        <w:jc w:val="both"/>
        <w:rPr>
          <w:rFonts w:ascii="Times New Roman" w:hAnsi="Times New Roman"/>
          <w:sz w:val="24"/>
        </w:rPr>
      </w:pPr>
      <w:r>
        <w:rPr>
          <w:rFonts w:ascii="Times New Roman" w:hAnsi="Times New Roman"/>
          <w:sz w:val="24"/>
        </w:rPr>
        <w:t>Člankom 14. stavkom 1. ZSSI-a propisano je da ako obveznik ne ispuni obvezu podnošenja imovinske kartice iz članaka 10. i 11. te članka 12. stavka 3. toga Zakona, Povjerenstvo će pokrenuti postupak protiv obveznika zbog povrede odredbi o podnošenju imovinske kartice. 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p>
    <w:p w14:paraId="3E39F964" w14:textId="77777777" w:rsidR="00C575E1" w:rsidRDefault="00C575E1">
      <w:pPr>
        <w:spacing w:after="0"/>
        <w:ind w:firstLine="708"/>
        <w:jc w:val="both"/>
        <w:rPr>
          <w:rFonts w:ascii="Times New Roman" w:hAnsi="Times New Roman"/>
          <w:sz w:val="24"/>
        </w:rPr>
      </w:pPr>
    </w:p>
    <w:p w14:paraId="51213F41" w14:textId="77777777" w:rsidR="00C575E1" w:rsidRDefault="00E87AE7">
      <w:pPr>
        <w:spacing w:after="0"/>
        <w:ind w:firstLine="708"/>
        <w:jc w:val="both"/>
        <w:rPr>
          <w:rFonts w:ascii="Times New Roman" w:hAnsi="Times New Roman"/>
          <w:sz w:val="24"/>
        </w:rPr>
      </w:pPr>
      <w:r>
        <w:rPr>
          <w:rFonts w:ascii="Times New Roman" w:hAnsi="Times New Roman"/>
          <w:sz w:val="24"/>
        </w:rPr>
        <w:t>Isto tako, stavkom 4. istog članka ZSSI-a propisano je da ako obveznik ne postupi u roku navedenom iz stavaka 2. i 3. toga članka, Povjerenstvo će protiv obveznika pokrenuti postupak zbog povrede odredbi o imovinskoj kartici.</w:t>
      </w:r>
    </w:p>
    <w:p w14:paraId="038476DC" w14:textId="77777777" w:rsidR="00C575E1" w:rsidRDefault="00C575E1">
      <w:pPr>
        <w:spacing w:after="0"/>
        <w:ind w:firstLine="708"/>
        <w:jc w:val="both"/>
        <w:rPr>
          <w:rFonts w:ascii="Times New Roman" w:hAnsi="Times New Roman"/>
          <w:sz w:val="24"/>
        </w:rPr>
      </w:pPr>
    </w:p>
    <w:p w14:paraId="0BD08C06" w14:textId="77777777" w:rsidR="00C575E1" w:rsidRDefault="00E87AE7">
      <w:pPr>
        <w:spacing w:after="0"/>
        <w:ind w:firstLine="708"/>
        <w:jc w:val="both"/>
        <w:rPr>
          <w:rFonts w:ascii="Times New Roman" w:hAnsi="Times New Roman"/>
          <w:sz w:val="24"/>
        </w:rPr>
      </w:pPr>
      <w:r>
        <w:rPr>
          <w:rFonts w:ascii="Times New Roman" w:hAnsi="Times New Roman"/>
          <w:sz w:val="24"/>
        </w:rPr>
        <w:t xml:space="preserve">U postupku je utvrđeno da je obveznik Tonči Milina stupio na dužnost člana uprave-direktora društva MINDEL ODVODNJA d.o.o. za javnu odvodnju 3. rujna 2022., pa je sukladno citiranom članku 10. stavku 2. ZSSI-a bio obvezan podnijeti imovinsku karticu u roku od 30 dana od dana stupanja na tu dužnost, tj. do 3. listopada 2022. Kako to isti nije učinio, a s obzirom da se radi o obvezniku koji prvi put podnosi imovinsku karticu povodom prvog stupanja na dužnost u smislu članka 14. stavka 2. ZSSI-a, to je Povjerenstvo sukladno istoj </w:t>
      </w:r>
      <w:r>
        <w:rPr>
          <w:rFonts w:ascii="Times New Roman" w:hAnsi="Times New Roman"/>
          <w:sz w:val="24"/>
        </w:rPr>
        <w:lastRenderedPageBreak/>
        <w:t xml:space="preserve">odredbi gore navedenim zaključkom od 9. kolovoza 2023. pozvalo obveznika da u roku od 15 dana od dana primitka istog podnese imovinsku karticu povodom stupanja na dužnost i to sa stanjem na dan 3. listopad 2022. Obveznik je navedeni zaključak zaprimio 18. kolovoza 2023., no traženu imovinsku karticu je podnio tek 25. rujna 2023., dakle izvan ostavljenog roka od 15 dana od primitka zaključka. </w:t>
      </w:r>
    </w:p>
    <w:p w14:paraId="5A987B33" w14:textId="77777777" w:rsidR="00C575E1" w:rsidRDefault="00C575E1">
      <w:pPr>
        <w:spacing w:after="0"/>
        <w:ind w:firstLine="708"/>
        <w:jc w:val="both"/>
        <w:rPr>
          <w:rFonts w:ascii="Times New Roman" w:hAnsi="Times New Roman"/>
          <w:sz w:val="24"/>
        </w:rPr>
      </w:pPr>
    </w:p>
    <w:p w14:paraId="26BB3623" w14:textId="77777777" w:rsidR="00C575E1" w:rsidRDefault="00E87AE7">
      <w:pPr>
        <w:spacing w:after="0"/>
        <w:ind w:firstLine="708"/>
        <w:jc w:val="both"/>
        <w:rPr>
          <w:rFonts w:ascii="Times New Roman" w:hAnsi="Times New Roman"/>
          <w:sz w:val="24"/>
        </w:rPr>
      </w:pPr>
      <w:r>
        <w:rPr>
          <w:rFonts w:ascii="Times New Roman" w:hAnsi="Times New Roman"/>
          <w:sz w:val="24"/>
        </w:rPr>
        <w:t>Stoga je utvrđeno da je obveznik takvim svojim propustom povrijedio članak 10. stavak 2. ZSSI-a.</w:t>
      </w:r>
    </w:p>
    <w:p w14:paraId="771891B0" w14:textId="77777777" w:rsidR="00C575E1" w:rsidRDefault="00C575E1">
      <w:pPr>
        <w:spacing w:after="0"/>
        <w:ind w:firstLine="708"/>
        <w:jc w:val="both"/>
        <w:rPr>
          <w:rFonts w:ascii="Times New Roman" w:hAnsi="Times New Roman"/>
          <w:sz w:val="24"/>
        </w:rPr>
      </w:pPr>
    </w:p>
    <w:p w14:paraId="0499F6E4" w14:textId="77777777" w:rsidR="00C575E1" w:rsidRDefault="00E87AE7">
      <w:pPr>
        <w:spacing w:after="0"/>
        <w:ind w:firstLine="708"/>
        <w:jc w:val="both"/>
        <w:rPr>
          <w:rFonts w:ascii="Times New Roman" w:hAnsi="Times New Roman"/>
          <w:sz w:val="24"/>
        </w:rPr>
      </w:pPr>
      <w:r>
        <w:rPr>
          <w:rFonts w:ascii="Times New Roman" w:hAnsi="Times New Roman"/>
          <w:sz w:val="24"/>
        </w:rPr>
        <w:t xml:space="preserve">Nadalje, u postupku je utvrđeno i da obveznik Tonči Milina do 31. siječnja 2023. nije podnio imovinsku karticu za 2022. godinu, niti je to učinio naknadno. </w:t>
      </w:r>
    </w:p>
    <w:p w14:paraId="21A13650" w14:textId="77777777" w:rsidR="00C575E1" w:rsidRDefault="00C575E1">
      <w:pPr>
        <w:spacing w:after="0"/>
        <w:ind w:firstLine="708"/>
        <w:jc w:val="both"/>
        <w:rPr>
          <w:rFonts w:ascii="Times New Roman" w:hAnsi="Times New Roman"/>
          <w:sz w:val="24"/>
        </w:rPr>
      </w:pPr>
    </w:p>
    <w:p w14:paraId="40AD585B" w14:textId="77777777" w:rsidR="00C575E1" w:rsidRDefault="00E87AE7">
      <w:pPr>
        <w:spacing w:after="0"/>
        <w:ind w:firstLine="708"/>
        <w:jc w:val="both"/>
        <w:rPr>
          <w:rFonts w:ascii="Times New Roman" w:hAnsi="Times New Roman"/>
          <w:sz w:val="24"/>
        </w:rPr>
      </w:pPr>
      <w:r>
        <w:rPr>
          <w:rFonts w:ascii="Times New Roman" w:hAnsi="Times New Roman"/>
          <w:sz w:val="24"/>
        </w:rPr>
        <w:t>Stoga je utvrđeno da je obveznik takvim svojim propustom povrijedio i članak 10. stavak 4. ZSSI-a.</w:t>
      </w:r>
    </w:p>
    <w:p w14:paraId="552364DD" w14:textId="77777777" w:rsidR="00C575E1" w:rsidRDefault="00C575E1">
      <w:pPr>
        <w:spacing w:after="0"/>
        <w:jc w:val="both"/>
        <w:rPr>
          <w:rFonts w:ascii="Times New Roman" w:hAnsi="Times New Roman"/>
          <w:sz w:val="24"/>
          <w:highlight w:val="yellow"/>
        </w:rPr>
      </w:pPr>
    </w:p>
    <w:p w14:paraId="49E148E7" w14:textId="77777777" w:rsidR="00C575E1" w:rsidRDefault="00E87AE7">
      <w:pPr>
        <w:spacing w:after="0"/>
        <w:ind w:firstLine="709"/>
        <w:jc w:val="both"/>
        <w:rPr>
          <w:rFonts w:ascii="Times New Roman" w:hAnsi="Times New Roman"/>
          <w:b/>
          <w:color w:val="000000"/>
          <w:sz w:val="24"/>
        </w:rPr>
      </w:pPr>
      <w:r>
        <w:rPr>
          <w:rFonts w:ascii="Times New Roman" w:hAnsi="Times New Roman"/>
          <w:b/>
          <w:color w:val="000000"/>
          <w:sz w:val="24"/>
        </w:rPr>
        <w:t>Povjerenstvo pritom ističe kako je obveznik i dalje u obvezi podnijeti imovinsku karticu za</w:t>
      </w:r>
      <w:r>
        <w:rPr>
          <w:rFonts w:ascii="Times New Roman" w:hAnsi="Times New Roman"/>
          <w:b/>
          <w:color w:val="FF0000"/>
          <w:sz w:val="24"/>
        </w:rPr>
        <w:t xml:space="preserve"> </w:t>
      </w:r>
      <w:r>
        <w:rPr>
          <w:rFonts w:ascii="Times New Roman" w:hAnsi="Times New Roman"/>
          <w:b/>
          <w:sz w:val="24"/>
        </w:rPr>
        <w:t xml:space="preserve">2022. </w:t>
      </w:r>
      <w:r>
        <w:rPr>
          <w:rFonts w:ascii="Times New Roman" w:hAnsi="Times New Roman"/>
          <w:b/>
          <w:color w:val="000000"/>
          <w:sz w:val="24"/>
        </w:rPr>
        <w:t>godinu te ga se poziva da istu dostavi u što kraćem roku.</w:t>
      </w:r>
    </w:p>
    <w:p w14:paraId="62B69EDB" w14:textId="77777777" w:rsidR="00C575E1" w:rsidRDefault="00C575E1">
      <w:pPr>
        <w:spacing w:after="0"/>
        <w:ind w:firstLine="709"/>
        <w:jc w:val="both"/>
        <w:rPr>
          <w:rFonts w:ascii="Times New Roman" w:hAnsi="Times New Roman"/>
          <w:b/>
          <w:color w:val="000000"/>
          <w:sz w:val="24"/>
        </w:rPr>
      </w:pPr>
    </w:p>
    <w:p w14:paraId="12F928B4" w14:textId="77777777" w:rsidR="00C575E1" w:rsidRDefault="00E87AE7">
      <w:pPr>
        <w:spacing w:after="0"/>
        <w:ind w:firstLine="709"/>
        <w:jc w:val="both"/>
        <w:rPr>
          <w:rFonts w:ascii="Times New Roman" w:hAnsi="Times New Roman"/>
          <w:color w:val="000000"/>
          <w:sz w:val="24"/>
        </w:rPr>
      </w:pPr>
      <w:r>
        <w:rPr>
          <w:rFonts w:ascii="Times New Roman" w:hAnsi="Times New Roman"/>
          <w:color w:val="000000"/>
          <w:sz w:val="24"/>
        </w:rPr>
        <w:t>Povjerenstvo ovdje posebno naglašava da je obveznik Tonči Milina Povjerenstvu podnio zahtjev za otvaranjem korisničkog računa putem kojeg obveznik može podnijeti imovinsku karticu tek 17. travnja 2023. (zaprimljenim kod Povjerenstva 19. travnja 2023.), dakle gotovo sedam i pol mjeseci od stupanja na dužnost.</w:t>
      </w:r>
    </w:p>
    <w:p w14:paraId="7B9B3F81" w14:textId="77777777" w:rsidR="00C575E1" w:rsidRDefault="00C575E1">
      <w:pPr>
        <w:spacing w:after="0"/>
        <w:ind w:firstLine="709"/>
        <w:jc w:val="both"/>
        <w:rPr>
          <w:rFonts w:ascii="Times New Roman" w:hAnsi="Times New Roman"/>
          <w:color w:val="000000"/>
          <w:sz w:val="24"/>
        </w:rPr>
      </w:pPr>
    </w:p>
    <w:p w14:paraId="0DE027F6" w14:textId="77777777" w:rsidR="00C575E1" w:rsidRDefault="00E87AE7">
      <w:pPr>
        <w:spacing w:after="0"/>
        <w:ind w:firstLine="708"/>
        <w:jc w:val="both"/>
        <w:rPr>
          <w:rFonts w:ascii="Times New Roman" w:hAnsi="Times New Roman"/>
          <w:color w:val="000000"/>
          <w:sz w:val="24"/>
        </w:rPr>
      </w:pPr>
      <w:r>
        <w:rPr>
          <w:rFonts w:ascii="Times New Roman" w:hAnsi="Times New Roman"/>
          <w:color w:val="000000"/>
          <w:sz w:val="24"/>
        </w:rPr>
        <w:t xml:space="preserve">Člankom 48. stavkom 1. ZSSI-a propisano je da za povredu odredbi toga Zakona o sukobu interesa ili drugog zabranjenog ili propisanog ponašanja, između ostalog, i iz članka 10. (obveza podnošenja imovinske kartice), Povjerenstvo obveznicima, uzimajući u obzir načelo razmjernosti, može izreći opomenu ili novčanu sankciju. Također, člankom 50. stavkom 1. ZSSI-a propisano je da Povjerenstvo </w:t>
      </w:r>
      <w:r>
        <w:rPr>
          <w:rFonts w:ascii="Times New Roman" w:hAnsi="Times New Roman"/>
          <w:sz w:val="24"/>
        </w:rPr>
        <w:t xml:space="preserve">novčanu sankciju </w:t>
      </w:r>
      <w:r>
        <w:rPr>
          <w:rFonts w:ascii="Times New Roman" w:hAnsi="Times New Roman"/>
          <w:color w:val="000000"/>
          <w:sz w:val="24"/>
        </w:rPr>
        <w:t>izriče u</w:t>
      </w:r>
      <w:r>
        <w:rPr>
          <w:rFonts w:ascii="Times New Roman" w:hAnsi="Times New Roman"/>
          <w:sz w:val="24"/>
        </w:rPr>
        <w:t xml:space="preserve"> iznosu </w:t>
      </w:r>
      <w:r>
        <w:rPr>
          <w:rFonts w:ascii="Times New Roman" w:hAnsi="Times New Roman"/>
          <w:color w:val="000000"/>
          <w:sz w:val="24"/>
        </w:rPr>
        <w:t>od 530,00 do 5.309,00 eura vodeći računa o težini i posljedicama povrede Zakona. Istim stavkom je propisano i da ako novčana kazna nije plaćena u roku od 15 dana, ista se može izvršiti obustavom isplate dijela neto mjesečne plaće ili obustavom na svim primanjima, a ista se može izvršiti i na imovini obveznika.</w:t>
      </w:r>
    </w:p>
    <w:p w14:paraId="6B69B1A6" w14:textId="77777777" w:rsidR="00C575E1" w:rsidRDefault="00C575E1">
      <w:pPr>
        <w:spacing w:after="0"/>
        <w:ind w:firstLine="708"/>
        <w:jc w:val="both"/>
        <w:rPr>
          <w:rFonts w:ascii="Times New Roman" w:hAnsi="Times New Roman"/>
          <w:color w:val="000000"/>
          <w:sz w:val="24"/>
        </w:rPr>
      </w:pPr>
    </w:p>
    <w:p w14:paraId="50D130BA" w14:textId="77777777" w:rsidR="00C575E1" w:rsidRDefault="00E87AE7">
      <w:pPr>
        <w:spacing w:after="0"/>
        <w:ind w:firstLine="708"/>
        <w:jc w:val="both"/>
        <w:rPr>
          <w:rFonts w:ascii="Times New Roman" w:hAnsi="Times New Roman"/>
          <w:color w:val="000000"/>
          <w:sz w:val="24"/>
        </w:rPr>
      </w:pPr>
      <w:r>
        <w:rPr>
          <w:rFonts w:ascii="Times New Roman" w:hAnsi="Times New Roman"/>
          <w:color w:val="000000"/>
          <w:sz w:val="24"/>
        </w:rPr>
        <w:t xml:space="preserve">U ovom konkretnom slučaju, Povjerenstvo je obvezniku izreklo </w:t>
      </w:r>
      <w:r>
        <w:rPr>
          <w:rFonts w:ascii="Times New Roman" w:hAnsi="Times New Roman"/>
          <w:sz w:val="24"/>
        </w:rPr>
        <w:t>novčanu</w:t>
      </w:r>
      <w:r>
        <w:rPr>
          <w:rFonts w:ascii="Times New Roman" w:hAnsi="Times New Roman"/>
          <w:color w:val="000000"/>
          <w:sz w:val="24"/>
        </w:rPr>
        <w:t xml:space="preserve"> sankciju u iznosu </w:t>
      </w:r>
      <w:r>
        <w:rPr>
          <w:rFonts w:ascii="Times New Roman" w:hAnsi="Times New Roman"/>
          <w:sz w:val="24"/>
        </w:rPr>
        <w:t>od 531,00 euro.</w:t>
      </w:r>
      <w:r>
        <w:rPr>
          <w:rFonts w:ascii="Times New Roman" w:hAnsi="Times New Roman"/>
          <w:color w:val="000000"/>
          <w:sz w:val="24"/>
        </w:rPr>
        <w:t xml:space="preserve"> Prilikom odmjeravanja </w:t>
      </w:r>
      <w:r>
        <w:rPr>
          <w:rFonts w:ascii="Times New Roman" w:hAnsi="Times New Roman"/>
          <w:sz w:val="24"/>
        </w:rPr>
        <w:t xml:space="preserve">vrste i visine </w:t>
      </w:r>
      <w:r>
        <w:rPr>
          <w:rFonts w:ascii="Times New Roman" w:hAnsi="Times New Roman"/>
          <w:color w:val="000000"/>
          <w:sz w:val="24"/>
        </w:rPr>
        <w:t>sankcije, Povjerenstvo je uzelo u obzir činjenicu da je obveznik podnio imovinsku karticu povodom stupanja na dužnost ne samo izvan roka od 30 dana od dana stupanja na dužnost u smislu članka 10. stavka 2. ZSSI-a, već i protekom roka od 15 dana koji mu je za ispunjenje navedene obveze odredilo Povjerenstvo gore navedenim zaključkom od 9. kolovoza 2023. Isto tako, Povjerenstvo je cijenilo i činjenicu da se obveznik Povjerenstvu obratio zahtjevom za otvaranjem korisničkog računa tek sedam i pol mjeseci od stupanja na dužnost. Iako je obveznik naknadno podnio imovinsku karticu povodom stupanja na dužnost, isti je to učinio po proteku ostavljenog roka, dok imovinsku karticu za 2022. god</w:t>
      </w:r>
      <w:r>
        <w:rPr>
          <w:rFonts w:ascii="Times New Roman" w:hAnsi="Times New Roman"/>
          <w:sz w:val="24"/>
        </w:rPr>
        <w:t>inu obveznik niti naknadno nije podnio.</w:t>
      </w:r>
    </w:p>
    <w:p w14:paraId="0447407E" w14:textId="77777777" w:rsidR="00C575E1" w:rsidRDefault="00C575E1">
      <w:pPr>
        <w:spacing w:after="0"/>
        <w:ind w:firstLine="708"/>
        <w:jc w:val="both"/>
        <w:rPr>
          <w:rFonts w:ascii="Times New Roman" w:hAnsi="Times New Roman"/>
          <w:color w:val="000000"/>
          <w:sz w:val="24"/>
        </w:rPr>
      </w:pPr>
    </w:p>
    <w:p w14:paraId="3C81CAFC" w14:textId="77777777" w:rsidR="00C575E1" w:rsidRDefault="00E87AE7">
      <w:pPr>
        <w:spacing w:after="0"/>
        <w:ind w:firstLine="708"/>
        <w:jc w:val="both"/>
        <w:rPr>
          <w:rFonts w:ascii="Times New Roman" w:hAnsi="Times New Roman"/>
          <w:sz w:val="24"/>
        </w:rPr>
      </w:pPr>
      <w:r>
        <w:rPr>
          <w:rFonts w:ascii="Times New Roman" w:hAnsi="Times New Roman"/>
          <w:sz w:val="24"/>
        </w:rPr>
        <w:t>Slijedom navedenog, a posebno uzimajući u obzir da obveznik ni do dana donošenja ove odluke nije podnio imovinsku karticu za 2022. godinu, kao i da su u konkretnom slučaju utvrđene povrede u odnosu na dvije odredbe ZSSI-a vezano za dvije imovinske kartice, Povjerenstvo smatra da je izricanje novčane sankcije u iznosu od 531,00 euro primjereno svim utvrđenim činjenicama i navedenim okolnostima slučaja.</w:t>
      </w:r>
    </w:p>
    <w:p w14:paraId="5A54FBA3" w14:textId="77777777" w:rsidR="00C575E1" w:rsidRDefault="00C575E1">
      <w:pPr>
        <w:spacing w:after="0"/>
        <w:jc w:val="both"/>
        <w:rPr>
          <w:rFonts w:ascii="Times New Roman" w:hAnsi="Times New Roman"/>
          <w:sz w:val="24"/>
        </w:rPr>
      </w:pPr>
    </w:p>
    <w:p w14:paraId="0946911B" w14:textId="77777777" w:rsidR="00C575E1" w:rsidRDefault="00E87AE7">
      <w:pPr>
        <w:spacing w:after="0"/>
        <w:ind w:firstLine="708"/>
        <w:jc w:val="both"/>
        <w:rPr>
          <w:rFonts w:ascii="Times New Roman" w:hAnsi="Times New Roman"/>
          <w:color w:val="000000"/>
          <w:sz w:val="24"/>
        </w:rPr>
      </w:pPr>
      <w:r>
        <w:rPr>
          <w:rFonts w:ascii="Times New Roman" w:hAnsi="Times New Roman"/>
          <w:color w:val="000000"/>
          <w:sz w:val="24"/>
        </w:rPr>
        <w:t>Slijedom navedenog, Povjerenstvo je donijelo odluku kako je navedeno u izreci.</w:t>
      </w:r>
      <w:r>
        <w:rPr>
          <w:rFonts w:ascii="Times New Roman" w:hAnsi="Times New Roman"/>
          <w:color w:val="000000"/>
          <w:sz w:val="24"/>
        </w:rPr>
        <w:tab/>
      </w:r>
    </w:p>
    <w:p w14:paraId="73397A11" w14:textId="77777777" w:rsidR="00C575E1" w:rsidRDefault="00C575E1">
      <w:pPr>
        <w:spacing w:after="0"/>
        <w:ind w:firstLine="708"/>
        <w:jc w:val="both"/>
        <w:rPr>
          <w:rFonts w:ascii="Times New Roman" w:hAnsi="Times New Roman"/>
          <w:color w:val="000000"/>
          <w:sz w:val="24"/>
        </w:rPr>
      </w:pPr>
    </w:p>
    <w:p w14:paraId="7F0CE664" w14:textId="77777777" w:rsidR="00C575E1" w:rsidRDefault="00C575E1">
      <w:pPr>
        <w:spacing w:after="0"/>
        <w:ind w:firstLine="708"/>
        <w:jc w:val="both"/>
        <w:rPr>
          <w:rFonts w:ascii="Times New Roman" w:hAnsi="Times New Roman"/>
          <w:color w:val="000000"/>
          <w:sz w:val="24"/>
        </w:rPr>
      </w:pPr>
    </w:p>
    <w:p w14:paraId="7DEFC626" w14:textId="77777777" w:rsidR="00C575E1" w:rsidRDefault="00E87AE7">
      <w:pPr>
        <w:spacing w:before="240" w:after="0"/>
        <w:jc w:val="both"/>
        <w:rPr>
          <w:rFonts w:ascii="Times New Roman" w:hAnsi="Times New Roman"/>
          <w:color w:val="000000"/>
          <w:sz w:val="24"/>
        </w:rPr>
      </w:pPr>
      <w:r>
        <w:rPr>
          <w:rFonts w:ascii="Times New Roman" w:hAnsi="Times New Roman"/>
          <w:color w:val="000000"/>
          <w:sz w:val="24"/>
        </w:rPr>
        <w:t xml:space="preserve">                                                                   ZAMJENICA PREDSJEDNICE POVJERENSTVA    </w:t>
      </w:r>
    </w:p>
    <w:p w14:paraId="5607F1D1" w14:textId="0814C4A1" w:rsidR="00C575E1" w:rsidRDefault="00E87AE7">
      <w:pPr>
        <w:spacing w:before="240" w:after="0"/>
        <w:jc w:val="both"/>
        <w:rPr>
          <w:rFonts w:ascii="Times New Roman" w:hAnsi="Times New Roman"/>
          <w:sz w:val="24"/>
          <w:u w:val="single"/>
        </w:rPr>
      </w:pPr>
      <w:r>
        <w:rPr>
          <w:rFonts w:ascii="Times New Roman" w:hAnsi="Times New Roman"/>
          <w:color w:val="000000"/>
          <w:sz w:val="24"/>
        </w:rPr>
        <w:t xml:space="preserve">                                                                                         Ines Pavlačić, dipl. </w:t>
      </w:r>
      <w:proofErr w:type="spellStart"/>
      <w:r>
        <w:rPr>
          <w:rFonts w:ascii="Times New Roman" w:hAnsi="Times New Roman"/>
          <w:color w:val="000000"/>
          <w:sz w:val="24"/>
        </w:rPr>
        <w:t>iur</w:t>
      </w:r>
      <w:proofErr w:type="spellEnd"/>
      <w:r>
        <w:rPr>
          <w:rFonts w:ascii="Times New Roman" w:hAnsi="Times New Roman"/>
          <w:color w:val="000000"/>
          <w:sz w:val="24"/>
        </w:rPr>
        <w:t>.</w:t>
      </w:r>
    </w:p>
    <w:p w14:paraId="55BB995C" w14:textId="77777777" w:rsidR="00E87AE7" w:rsidRDefault="00E87AE7">
      <w:pPr>
        <w:spacing w:before="240" w:after="0"/>
        <w:jc w:val="both"/>
        <w:rPr>
          <w:rFonts w:ascii="Times New Roman" w:hAnsi="Times New Roman"/>
          <w:sz w:val="24"/>
          <w:u w:val="single"/>
        </w:rPr>
      </w:pPr>
    </w:p>
    <w:p w14:paraId="09D4C68E" w14:textId="1FC7F981" w:rsidR="00C575E1" w:rsidRDefault="00E87AE7">
      <w:pPr>
        <w:spacing w:before="240" w:after="0"/>
        <w:jc w:val="both"/>
        <w:rPr>
          <w:rFonts w:ascii="Times New Roman" w:hAnsi="Times New Roman"/>
          <w:sz w:val="24"/>
          <w:u w:val="single"/>
        </w:rPr>
      </w:pPr>
      <w:r>
        <w:rPr>
          <w:rFonts w:ascii="Times New Roman" w:hAnsi="Times New Roman"/>
          <w:sz w:val="24"/>
          <w:u w:val="single"/>
        </w:rPr>
        <w:t xml:space="preserve">Uputa o pravnom lijeku: </w:t>
      </w:r>
    </w:p>
    <w:p w14:paraId="42D1F114" w14:textId="77777777" w:rsidR="00C575E1" w:rsidRDefault="00E87AE7">
      <w:pPr>
        <w:spacing w:after="0" w:line="240" w:lineRule="auto"/>
        <w:jc w:val="both"/>
        <w:rPr>
          <w:rFonts w:ascii="Times New Roman" w:hAnsi="Times New Roman"/>
          <w:sz w:val="24"/>
          <w:u w:val="single"/>
        </w:rPr>
      </w:pPr>
      <w:r>
        <w:rPr>
          <w:rFonts w:ascii="Times New Roman" w:hAnsi="Times New Roman"/>
          <w:sz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Pr>
          <w:rFonts w:ascii="Times New Roman" w:hAnsi="Times New Roman"/>
          <w:sz w:val="24"/>
        </w:rPr>
        <w:t>odgodni</w:t>
      </w:r>
      <w:proofErr w:type="spellEnd"/>
      <w:r>
        <w:rPr>
          <w:rFonts w:ascii="Times New Roman" w:hAnsi="Times New Roman"/>
          <w:sz w:val="24"/>
        </w:rPr>
        <w:t xml:space="preserve"> učinak.</w:t>
      </w:r>
    </w:p>
    <w:p w14:paraId="0B1A6EA6" w14:textId="77777777" w:rsidR="00C575E1" w:rsidRDefault="00C575E1">
      <w:pPr>
        <w:spacing w:before="240" w:after="0"/>
        <w:rPr>
          <w:rFonts w:ascii="Times New Roman" w:hAnsi="Times New Roman"/>
          <w:sz w:val="24"/>
          <w:u w:val="single"/>
        </w:rPr>
      </w:pPr>
    </w:p>
    <w:p w14:paraId="10139CBE" w14:textId="77777777" w:rsidR="00C575E1" w:rsidRDefault="00E87AE7">
      <w:pPr>
        <w:spacing w:before="240" w:after="0"/>
        <w:rPr>
          <w:rFonts w:ascii="Times New Roman" w:hAnsi="Times New Roman"/>
          <w:sz w:val="24"/>
          <w:u w:val="single"/>
        </w:rPr>
      </w:pPr>
      <w:r>
        <w:rPr>
          <w:rFonts w:ascii="Times New Roman" w:hAnsi="Times New Roman"/>
          <w:sz w:val="24"/>
          <w:u w:val="single"/>
        </w:rPr>
        <w:t xml:space="preserve">Dostaviti:  </w:t>
      </w:r>
    </w:p>
    <w:p w14:paraId="5B70CE9B" w14:textId="77777777" w:rsidR="00C575E1" w:rsidRDefault="00E87AE7">
      <w:pPr>
        <w:spacing w:after="0"/>
        <w:rPr>
          <w:rFonts w:ascii="Times New Roman" w:hAnsi="Times New Roman"/>
          <w:sz w:val="24"/>
        </w:rPr>
      </w:pPr>
      <w:r>
        <w:rPr>
          <w:rFonts w:ascii="Times New Roman" w:hAnsi="Times New Roman"/>
          <w:sz w:val="24"/>
        </w:rPr>
        <w:t>1. Obveznik Tonči Milina, osobnom dostavom</w:t>
      </w:r>
    </w:p>
    <w:p w14:paraId="11B3093F" w14:textId="77777777" w:rsidR="00C575E1" w:rsidRDefault="00E87AE7">
      <w:pPr>
        <w:spacing w:after="0"/>
        <w:rPr>
          <w:rFonts w:ascii="Times New Roman" w:hAnsi="Times New Roman"/>
          <w:sz w:val="24"/>
        </w:rPr>
      </w:pPr>
      <w:r>
        <w:rPr>
          <w:rFonts w:ascii="Times New Roman" w:hAnsi="Times New Roman"/>
          <w:sz w:val="24"/>
        </w:rPr>
        <w:t>2. Objava na mrežnim stranicama Povjerenstva nakon uredne dostave obvezniku</w:t>
      </w:r>
    </w:p>
    <w:p w14:paraId="1C766FCF" w14:textId="77777777" w:rsidR="00C575E1" w:rsidRDefault="00E87AE7">
      <w:pPr>
        <w:spacing w:after="0"/>
        <w:rPr>
          <w:rFonts w:ascii="Times New Roman" w:hAnsi="Times New Roman"/>
          <w:sz w:val="24"/>
        </w:rPr>
      </w:pPr>
      <w:r>
        <w:rPr>
          <w:rFonts w:ascii="Times New Roman" w:hAnsi="Times New Roman"/>
          <w:sz w:val="24"/>
        </w:rPr>
        <w:t>3. Pismohrana</w:t>
      </w:r>
    </w:p>
    <w:sectPr w:rsidR="00C575E1">
      <w:headerReference w:type="default" r:id="rId7"/>
      <w:footerReference w:type="default" r:id="rId8"/>
      <w:headerReference w:type="first" r:id="rId9"/>
      <w:footerReference w:type="first" r:id="rId10"/>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86F9C" w14:textId="77777777" w:rsidR="007503AD" w:rsidRDefault="007503AD">
      <w:pPr>
        <w:spacing w:after="0" w:line="240" w:lineRule="auto"/>
      </w:pPr>
      <w:r>
        <w:separator/>
      </w:r>
    </w:p>
  </w:endnote>
  <w:endnote w:type="continuationSeparator" w:id="0">
    <w:p w14:paraId="50F3B286" w14:textId="77777777" w:rsidR="007503AD" w:rsidRDefault="0075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 w:name="Times">
    <w:panose1 w:val="02020603050405020304"/>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9A8C8" w14:textId="77777777" w:rsidR="00C575E1" w:rsidRDefault="00E87AE7">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74DCB8D9" w14:textId="77777777" w:rsidR="00C575E1" w:rsidRDefault="00E87AE7">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p w14:paraId="52AC65E0" w14:textId="77777777" w:rsidR="00C575E1" w:rsidRDefault="00C575E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B82E0" w14:textId="77777777" w:rsidR="00C575E1" w:rsidRDefault="00E87AE7">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3E9891E2" w14:textId="77777777" w:rsidR="00C575E1" w:rsidRDefault="00E87AE7">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p w14:paraId="7E216204" w14:textId="77777777" w:rsidR="00C575E1" w:rsidRDefault="00C575E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1827E" w14:textId="77777777" w:rsidR="007503AD" w:rsidRDefault="007503AD">
      <w:pPr>
        <w:spacing w:after="0" w:line="240" w:lineRule="auto"/>
      </w:pPr>
      <w:r>
        <w:separator/>
      </w:r>
    </w:p>
  </w:footnote>
  <w:footnote w:type="continuationSeparator" w:id="0">
    <w:p w14:paraId="4D8D185B" w14:textId="77777777" w:rsidR="007503AD" w:rsidRDefault="00750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AF83" w14:textId="77777777" w:rsidR="00C575E1" w:rsidRDefault="00E87AE7">
    <w:pPr>
      <w:pStyle w:val="Zaglavlje"/>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B1E39">
      <w:rPr>
        <w:rFonts w:ascii="Times New Roman" w:hAnsi="Times New Roman"/>
        <w:noProof/>
      </w:rPr>
      <w:t>2</w:t>
    </w:r>
    <w:r>
      <w:rPr>
        <w:rFonts w:ascii="Times New Roman" w:hAnsi="Times New Roman"/>
        <w:noProof/>
      </w:rPr>
      <w:fldChar w:fldCharType="end"/>
    </w:r>
  </w:p>
  <w:p w14:paraId="02ECF615" w14:textId="77777777" w:rsidR="00C575E1" w:rsidRDefault="00C575E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ECE8" w14:textId="77777777" w:rsidR="00C575E1" w:rsidRDefault="00E87AE7">
    <w:pPr>
      <w:tabs>
        <w:tab w:val="center" w:pos="4536"/>
        <w:tab w:val="right" w:pos="9072"/>
      </w:tabs>
      <w:spacing w:after="0" w:line="240" w:lineRule="auto"/>
      <w:rPr>
        <w:rFonts w:ascii="Times New Roman" w:hAnsi="Times New Roman"/>
        <w:sz w:val="16"/>
        <w:lang w:eastAsia="hr-HR"/>
      </w:rPr>
    </w:pPr>
    <w:r>
      <w:rPr>
        <w:rFonts w:ascii="Times New Roman" w:hAnsi="Times New Roman"/>
        <w:noProof/>
        <w:sz w:val="18"/>
        <w:lang w:eastAsia="hr-HR"/>
      </w:rPr>
      <mc:AlternateContent>
        <mc:Choice Requires="wps">
          <w:drawing>
            <wp:anchor distT="0" distB="0" distL="114300" distR="114300" simplePos="0" relativeHeight="251659264" behindDoc="1" locked="0" layoutInCell="1" allowOverlap="1" wp14:anchorId="61B62445" wp14:editId="239A48F4">
              <wp:simplePos x="0" y="0"/>
              <wp:positionH relativeFrom="column">
                <wp:posOffset>3657600</wp:posOffset>
              </wp:positionH>
              <wp:positionV relativeFrom="page">
                <wp:posOffset>285750</wp:posOffset>
              </wp:positionV>
              <wp:extent cx="2952115" cy="1571625"/>
              <wp:effectExtent l="0" t="0" r="0" b="0"/>
              <wp:wrapNone/>
              <wp:docPr id="1"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952115" cy="1571625"/>
                      </a:xfrm>
                      <a:prstGeom prst="rect">
                        <a:avLst/>
                      </a:prstGeom>
                      <a:noFill/>
                      <a:ln>
                        <a:noFill/>
                      </a:ln>
                    </wps:spPr>
                    <wps:txbx>
                      <w:txbxContent>
                        <w:p w14:paraId="0F50A6C7" w14:textId="77777777" w:rsidR="00C575E1" w:rsidRDefault="00E87AE7">
                          <w:pPr>
                            <w:jc w:val="right"/>
                            <w:rPr>
                              <w:sz w:val="16"/>
                            </w:rPr>
                          </w:pPr>
                          <w:r>
                            <w:rPr>
                              <w:sz w:val="16"/>
                            </w:rPr>
                            <w:t xml:space="preserve">                                                </w:t>
                          </w:r>
                        </w:p>
                        <w:p w14:paraId="241ADB43" w14:textId="77777777" w:rsidR="00C575E1" w:rsidRDefault="00C575E1">
                          <w:pPr>
                            <w:tabs>
                              <w:tab w:val="left" w:pos="180"/>
                            </w:tabs>
                            <w:spacing w:before="40" w:line="360" w:lineRule="auto"/>
                            <w:ind w:left="181"/>
                            <w:jc w:val="right"/>
                            <w:rPr>
                              <w:rFonts w:ascii="Arial Narrow" w:hAnsi="Arial Narrow"/>
                              <w:color w:val="333333"/>
                              <w:sz w:val="16"/>
                            </w:rPr>
                          </w:pPr>
                        </w:p>
                        <w:p w14:paraId="355A714E" w14:textId="77777777" w:rsidR="00C575E1" w:rsidRDefault="00C575E1">
                          <w:pPr>
                            <w:spacing w:line="360" w:lineRule="auto"/>
                            <w:ind w:right="702"/>
                            <w:jc w:val="right"/>
                          </w:pPr>
                        </w:p>
                      </w:txbxContent>
                    </wps:txbx>
                    <wps:bodyPr wrap="square" lIns="36000" tIns="45720" rIns="36000" bIns="45720" anchor="t" upright="1">
                      <a:noAutofit/>
                    </wps:bodyPr>
                  </wps:wsp>
                </a:graphicData>
              </a:graphic>
            </wp:anchor>
          </w:drawing>
        </mc:Choice>
        <mc:Fallback>
          <w:pict>
            <v:rect w14:anchorId="61B62445" id="Tekstni okvir 13" o:spid="_x0000_s1026" style="position:absolute;margin-left:4in;margin-top:22.5pt;width:232.45pt;height:123.7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1uQEAAGQDAAAOAAAAZHJzL2Uyb0RvYy54bWysU9tu2zAMfR+wfxD0vviyOV2NOEXRosOA&#10;YivQ9QMUWbKF2aImKrHz96OUNE3bt2EvgnjR4eEhtbqax4HtlEcDtuHFIudMWQmtsV3Dn37dffrK&#10;GQZhWzGAVQ3fK+RX648fVpOrVQk9DK3yjEAs1pNreB+Cq7MMZa9GgQtwylJQgx9FINN3WevFROjj&#10;kJV5vswm8K3zIBUieW8PQb5O+ForGX5qjSqwoeHELaTTp3MTz2y9EnXnheuNPNIQ/8BiFMZS0RPU&#10;rQiCbb15BzUa6QFBh4WEMQOtjVSpB+qmyN9089gLp1IvJA66k0z4/2Dlj92je/CROrp7kL+RWbjp&#10;he3UNTqSj4YaRcomh/UpORp4fDZrP8bn1Aubk7D7k7BqDkySs7ysyqKoOJMUK6qLYllWCVXUz8+d&#10;x/BNwcjipeGeSidBxe4eQyQg6ueUWM3CnRmGNL3BvnJQYvQkwgeOkW2YNzNlx+sG2v2DZxMNveH4&#10;Zyu84mz4bknVz8s8j1uSjC/VRUmGP49sziPCyh5olwJnW+dN1yexDmSutwG0ScRfah5Z0ShTP8e1&#10;i7tybqesl8+x/gsAAP//AwBQSwMEFAAGAAgAAAAhABAlFULhAAAACwEAAA8AAABkcnMvZG93bnJl&#10;di54bWxMj8FOwzAQRO9I/IO1SNyoTdSUNMSpKiQOcKjawoWbG2+TQLy2YrsNf497KqfRakazb6rV&#10;ZAZ2wtH3liQ8zgQwpMbqnloJnx+vDwUwHxRpNVhCCb/oYVXf3lSq1PZMOzztQ8tSCflSSehCcCXn&#10;vunQKD+zDil5RzsaFdI5tlyP6pzKzcAzIRbcqJ7Sh045fOmw+dlHIyHuNl923RY0FJv4Pn1vXTy6&#10;Nynv76b1M7CAU7iG4YKf0KFOTAcbSXs2SMifFmlLkDDPk14CYi6WwA4SsmWWA68r/n9D/QcAAP//&#10;AwBQSwECLQAUAAYACAAAACEAtoM4kv4AAADhAQAAEwAAAAAAAAAAAAAAAAAAAAAAW0NvbnRlbnRf&#10;VHlwZXNdLnhtbFBLAQItABQABgAIAAAAIQA4/SH/1gAAAJQBAAALAAAAAAAAAAAAAAAAAC8BAABf&#10;cmVscy8ucmVsc1BLAQItABQABgAIAAAAIQCnWgH1uQEAAGQDAAAOAAAAAAAAAAAAAAAAAC4CAABk&#10;cnMvZTJvRG9jLnhtbFBLAQItABQABgAIAAAAIQAQJRVC4QAAAAsBAAAPAAAAAAAAAAAAAAAAABME&#10;AABkcnMvZG93bnJldi54bWxQSwUGAAAAAAQABADzAAAAIQUAAAAA&#10;" filled="f" stroked="f">
              <o:lock v:ext="edit" aspectratio="t"/>
              <v:textbox inset="1mm,,1mm">
                <w:txbxContent>
                  <w:p w14:paraId="0F50A6C7" w14:textId="77777777" w:rsidR="00C575E1" w:rsidRDefault="00E87AE7">
                    <w:pPr>
                      <w:jc w:val="right"/>
                      <w:rPr>
                        <w:sz w:val="16"/>
                      </w:rPr>
                    </w:pPr>
                    <w:r>
                      <w:rPr>
                        <w:sz w:val="16"/>
                      </w:rPr>
                      <w:t xml:space="preserve">                                                </w:t>
                    </w:r>
                  </w:p>
                  <w:p w14:paraId="241ADB43" w14:textId="77777777" w:rsidR="00C575E1" w:rsidRDefault="00C575E1">
                    <w:pPr>
                      <w:tabs>
                        <w:tab w:val="left" w:pos="180"/>
                      </w:tabs>
                      <w:spacing w:before="40" w:line="360" w:lineRule="auto"/>
                      <w:ind w:left="181"/>
                      <w:jc w:val="right"/>
                      <w:rPr>
                        <w:rFonts w:ascii="Arial Narrow" w:hAnsi="Arial Narrow"/>
                        <w:color w:val="333333"/>
                        <w:sz w:val="16"/>
                      </w:rPr>
                    </w:pPr>
                  </w:p>
                  <w:p w14:paraId="355A714E" w14:textId="77777777" w:rsidR="00C575E1" w:rsidRDefault="00C575E1">
                    <w:pPr>
                      <w:spacing w:line="360" w:lineRule="auto"/>
                      <w:ind w:right="702"/>
                      <w:jc w:val="right"/>
                    </w:pPr>
                  </w:p>
                </w:txbxContent>
              </v:textbox>
              <w10:wrap anchory="page"/>
            </v:rect>
          </w:pict>
        </mc:Fallback>
      </mc:AlternateContent>
    </w:r>
    <w:r>
      <w:rPr>
        <w:rFonts w:ascii="Times New Roman" w:hAnsi="Times New Roman"/>
        <w:sz w:val="18"/>
        <w:lang w:eastAsia="hr-HR"/>
      </w:rPr>
      <w:t xml:space="preserve">                     </w:t>
    </w:r>
    <w:r>
      <w:rPr>
        <w:rFonts w:ascii="Times New Roman" w:hAnsi="Times New Roman"/>
        <w:noProof/>
        <w:sz w:val="16"/>
        <w:lang w:eastAsia="hr-HR"/>
      </w:rPr>
      <w:drawing>
        <wp:inline distT="0" distB="0" distL="0" distR="0" wp14:anchorId="70ED82F8" wp14:editId="62C64520">
          <wp:extent cx="510540" cy="638175"/>
          <wp:effectExtent l="0" t="0" r="0" b="0"/>
          <wp:docPr id="2"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pic:nvPicPr>
                <pic:blipFill>
                  <a:blip r:embed="rId1"/>
                  <a:stretch>
                    <a:fillRect/>
                  </a:stretch>
                </pic:blipFill>
                <pic:spPr>
                  <a:xfrm>
                    <a:off x="0" y="0"/>
                    <a:ext cx="510540" cy="638175"/>
                  </a:xfrm>
                  <a:prstGeom prst="rect">
                    <a:avLst/>
                  </a:prstGeom>
                  <a:noFill/>
                </pic:spPr>
              </pic:pic>
            </a:graphicData>
          </a:graphic>
        </wp:inline>
      </w:drawing>
    </w:r>
    <w:r>
      <w:rPr>
        <w:rFonts w:ascii="Times New Roman" w:hAnsi="Times New Roman"/>
        <w:sz w:val="16"/>
        <w:lang w:eastAsia="hr-HR"/>
      </w:rPr>
      <w:t xml:space="preserve">                           </w:t>
    </w:r>
    <w:r>
      <w:rPr>
        <w:b/>
        <w:noProof/>
        <w:sz w:val="16"/>
        <w:lang w:eastAsia="hr-HR"/>
      </w:rPr>
      <w:t xml:space="preserve">                                                                                       </w:t>
    </w:r>
    <w:r>
      <w:rPr>
        <w:b/>
        <w:noProof/>
        <w:sz w:val="16"/>
        <w:lang w:eastAsia="hr-HR"/>
      </w:rPr>
      <w:drawing>
        <wp:inline distT="0" distB="0" distL="0" distR="0" wp14:anchorId="6B56BF27" wp14:editId="79F035E6">
          <wp:extent cx="1942465" cy="523875"/>
          <wp:effectExtent l="0" t="0" r="0" b="0"/>
          <wp:docPr id="3"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2"/>
                  <a:stretch>
                    <a:fillRect/>
                  </a:stretch>
                </pic:blipFill>
                <pic:spPr>
                  <a:xfrm>
                    <a:off x="0" y="0"/>
                    <a:ext cx="1942465" cy="523875"/>
                  </a:xfrm>
                  <a:prstGeom prst="rect">
                    <a:avLst/>
                  </a:prstGeom>
                  <a:noFill/>
                </pic:spPr>
              </pic:pic>
            </a:graphicData>
          </a:graphic>
        </wp:inline>
      </w:drawing>
    </w:r>
    <w:r>
      <w:rPr>
        <w:b/>
        <w:noProof/>
        <w:sz w:val="16"/>
        <w:lang w:eastAsia="hr-HR"/>
      </w:rPr>
      <w:t xml:space="preserve">                                             </w:t>
    </w:r>
  </w:p>
  <w:p w14:paraId="2A187698" w14:textId="77777777" w:rsidR="00C575E1" w:rsidRDefault="00E87AE7">
    <w:pPr>
      <w:tabs>
        <w:tab w:val="left" w:pos="8115"/>
      </w:tabs>
      <w:spacing w:after="0" w:line="240" w:lineRule="auto"/>
      <w:rPr>
        <w:rFonts w:ascii="Times New Roman" w:hAnsi="Times New Roman"/>
        <w:color w:val="000000"/>
        <w:sz w:val="16"/>
        <w:lang w:eastAsia="hr-HR"/>
      </w:rPr>
    </w:pPr>
    <w:r>
      <w:rPr>
        <w:rFonts w:ascii="Times New Roman" w:hAnsi="Times New Roman"/>
        <w:color w:val="000000"/>
        <w:sz w:val="16"/>
        <w:lang w:eastAsia="hr-HR"/>
      </w:rPr>
      <w:t xml:space="preserve">              </w:t>
    </w:r>
  </w:p>
  <w:p w14:paraId="078A77DE" w14:textId="77777777" w:rsidR="00C575E1" w:rsidRDefault="00E87AE7">
    <w:pPr>
      <w:tabs>
        <w:tab w:val="center" w:pos="4748"/>
      </w:tabs>
      <w:spacing w:after="0" w:line="240" w:lineRule="auto"/>
      <w:rPr>
        <w:rFonts w:ascii="Times New Roman" w:hAnsi="Times New Roman"/>
        <w:b/>
        <w:color w:val="000000"/>
        <w:sz w:val="24"/>
        <w:lang w:eastAsia="hr-HR"/>
      </w:rPr>
    </w:pPr>
    <w:r>
      <w:rPr>
        <w:rFonts w:ascii="Times New Roman" w:hAnsi="Times New Roman"/>
        <w:b/>
        <w:color w:val="000000"/>
        <w:sz w:val="24"/>
        <w:lang w:eastAsia="hr-HR"/>
      </w:rPr>
      <w:t>REPUBLIKA  HRVATSKA</w:t>
    </w:r>
  </w:p>
  <w:p w14:paraId="66254089" w14:textId="77777777" w:rsidR="00C575E1" w:rsidRDefault="00E87AE7">
    <w:pPr>
      <w:tabs>
        <w:tab w:val="center" w:pos="4748"/>
      </w:tabs>
      <w:spacing w:after="0" w:line="240" w:lineRule="auto"/>
      <w:rPr>
        <w:rFonts w:ascii="Times New Roman" w:hAnsi="Times New Roman"/>
        <w:b/>
        <w:i/>
        <w:color w:val="000000"/>
        <w:sz w:val="24"/>
        <w:lang w:eastAsia="hr-HR"/>
      </w:rPr>
    </w:pPr>
    <w:r>
      <w:rPr>
        <w:rFonts w:ascii="Times New Roman" w:hAnsi="Times New Roman"/>
        <w:b/>
        <w:i/>
        <w:color w:val="000000"/>
        <w:sz w:val="24"/>
        <w:lang w:eastAsia="hr-HR"/>
      </w:rPr>
      <w:t>Povjerenstvo za odlučivanje</w:t>
    </w:r>
  </w:p>
  <w:p w14:paraId="3E29AD26" w14:textId="77777777" w:rsidR="00C575E1" w:rsidRDefault="00E87AE7">
    <w:pPr>
      <w:tabs>
        <w:tab w:val="center" w:pos="4748"/>
      </w:tabs>
      <w:spacing w:after="0" w:line="240" w:lineRule="auto"/>
      <w:rPr>
        <w:rFonts w:ascii="Times New Roman" w:hAnsi="Times New Roman"/>
        <w:b/>
        <w:color w:val="000000"/>
        <w:sz w:val="24"/>
        <w:lang w:eastAsia="hr-HR"/>
      </w:rPr>
    </w:pPr>
    <w:r>
      <w:rPr>
        <w:rFonts w:ascii="Times New Roman" w:hAnsi="Times New Roman"/>
        <w:b/>
        <w:i/>
        <w:color w:val="000000"/>
        <w:sz w:val="24"/>
        <w:lang w:eastAsia="hr-HR"/>
      </w:rPr>
      <w:t xml:space="preserve">        o sukobu interesa</w:t>
    </w:r>
    <w:r>
      <w:rPr>
        <w:rFonts w:ascii="Times New Roman" w:hAnsi="Times New Roman"/>
        <w:b/>
        <w:color w:val="000000"/>
        <w:sz w:val="24"/>
        <w:lang w:eastAsia="hr-HR"/>
      </w:rPr>
      <w:tab/>
    </w:r>
  </w:p>
  <w:p w14:paraId="5FE45B6D" w14:textId="77777777" w:rsidR="00C575E1" w:rsidRDefault="00E87AE7">
    <w:pPr>
      <w:tabs>
        <w:tab w:val="left" w:pos="8115"/>
      </w:tabs>
      <w:spacing w:after="0" w:line="240" w:lineRule="auto"/>
      <w:rPr>
        <w:rFonts w:ascii="Times New Roman" w:hAnsi="Times New Roman"/>
        <w:b/>
        <w:i/>
        <w:color w:val="000000"/>
        <w:sz w:val="16"/>
        <w:lang w:eastAsia="hr-HR"/>
      </w:rPr>
    </w:pPr>
    <w:r>
      <w:rPr>
        <w:rFonts w:ascii="Times New Roman" w:hAnsi="Times New Roman"/>
        <w:b/>
        <w:color w:val="000000"/>
        <w:sz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635E8ACE"/>
    <w:lvl w:ilvl="0" w:tplc="944EEC7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 w15:restartNumberingAfterBreak="0">
    <w:nsid w:val="2CF26F15"/>
    <w:multiLevelType w:val="hybridMultilevel"/>
    <w:tmpl w:val="7F2AE3A4"/>
    <w:lvl w:ilvl="0" w:tplc="A0E6056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32389A"/>
    <w:multiLevelType w:val="hybridMultilevel"/>
    <w:tmpl w:val="783614F0"/>
    <w:lvl w:ilvl="0" w:tplc="D72E7B94">
      <w:start w:val="1"/>
      <w:numFmt w:val="bullet"/>
      <w:lvlText w:val="-"/>
      <w:lvlJc w:val="left"/>
      <w:pPr>
        <w:ind w:left="1069" w:hanging="360"/>
      </w:pPr>
      <w:rPr>
        <w:rFonts w:ascii="Times New Roman" w:hAnsi="Times New Roman"/>
      </w:rPr>
    </w:lvl>
    <w:lvl w:ilvl="1" w:tplc="04090003">
      <w:start w:val="1"/>
      <w:numFmt w:val="bullet"/>
      <w:lvlText w:val="o"/>
      <w:lvlJc w:val="left"/>
      <w:pPr>
        <w:ind w:left="1789" w:hanging="360"/>
      </w:pPr>
      <w:rPr>
        <w:rFonts w:ascii="Courier New" w:hAnsi="Courier New"/>
      </w:rPr>
    </w:lvl>
    <w:lvl w:ilvl="2" w:tplc="04090005">
      <w:start w:val="1"/>
      <w:numFmt w:val="bullet"/>
      <w:lvlText w:val=""/>
      <w:lvlJc w:val="left"/>
      <w:pPr>
        <w:ind w:left="2509" w:hanging="360"/>
      </w:pPr>
      <w:rPr>
        <w:rFonts w:ascii="Wingdings" w:hAnsi="Wingdings"/>
      </w:rPr>
    </w:lvl>
    <w:lvl w:ilvl="3" w:tplc="04090001">
      <w:start w:val="1"/>
      <w:numFmt w:val="bullet"/>
      <w:lvlText w:val=""/>
      <w:lvlJc w:val="left"/>
      <w:pPr>
        <w:ind w:left="3229" w:hanging="360"/>
      </w:pPr>
      <w:rPr>
        <w:rFonts w:ascii="Symbol" w:hAnsi="Symbol"/>
      </w:rPr>
    </w:lvl>
    <w:lvl w:ilvl="4" w:tplc="04090003">
      <w:start w:val="1"/>
      <w:numFmt w:val="bullet"/>
      <w:lvlText w:val="o"/>
      <w:lvlJc w:val="left"/>
      <w:pPr>
        <w:ind w:left="3949" w:hanging="360"/>
      </w:pPr>
      <w:rPr>
        <w:rFonts w:ascii="Courier New" w:hAnsi="Courier New"/>
      </w:rPr>
    </w:lvl>
    <w:lvl w:ilvl="5" w:tplc="04090005">
      <w:start w:val="1"/>
      <w:numFmt w:val="bullet"/>
      <w:lvlText w:val=""/>
      <w:lvlJc w:val="left"/>
      <w:pPr>
        <w:ind w:left="4669" w:hanging="360"/>
      </w:pPr>
      <w:rPr>
        <w:rFonts w:ascii="Wingdings" w:hAnsi="Wingdings"/>
      </w:rPr>
    </w:lvl>
    <w:lvl w:ilvl="6" w:tplc="04090001">
      <w:start w:val="1"/>
      <w:numFmt w:val="bullet"/>
      <w:lvlText w:val=""/>
      <w:lvlJc w:val="left"/>
      <w:pPr>
        <w:ind w:left="5389" w:hanging="360"/>
      </w:pPr>
      <w:rPr>
        <w:rFonts w:ascii="Symbol" w:hAnsi="Symbol"/>
      </w:rPr>
    </w:lvl>
    <w:lvl w:ilvl="7" w:tplc="04090003">
      <w:start w:val="1"/>
      <w:numFmt w:val="bullet"/>
      <w:lvlText w:val="o"/>
      <w:lvlJc w:val="left"/>
      <w:pPr>
        <w:ind w:left="6109" w:hanging="360"/>
      </w:pPr>
      <w:rPr>
        <w:rFonts w:ascii="Courier New" w:hAnsi="Courier New"/>
      </w:rPr>
    </w:lvl>
    <w:lvl w:ilvl="8" w:tplc="04090005">
      <w:start w:val="1"/>
      <w:numFmt w:val="bullet"/>
      <w:lvlText w:val=""/>
      <w:lvlJc w:val="left"/>
      <w:pPr>
        <w:ind w:left="6829" w:hanging="360"/>
      </w:pPr>
      <w:rPr>
        <w:rFonts w:ascii="Wingdings" w:hAnsi="Wingdings"/>
      </w:rPr>
    </w:lvl>
  </w:abstractNum>
  <w:abstractNum w:abstractNumId="3" w15:restartNumberingAfterBreak="0">
    <w:nsid w:val="3EC134DF"/>
    <w:multiLevelType w:val="hybridMultilevel"/>
    <w:tmpl w:val="CFE29DA2"/>
    <w:lvl w:ilvl="0" w:tplc="0C626D9E">
      <w:start w:val="1"/>
      <w:numFmt w:val="upperRoman"/>
      <w:lvlText w:val="%1."/>
      <w:lvlJc w:val="left"/>
      <w:pPr>
        <w:ind w:left="1080" w:hanging="720"/>
      </w:pPr>
      <w:rPr>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1948231C"/>
    <w:lvl w:ilvl="0" w:tplc="DCC2AA6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F844E050"/>
    <w:lvl w:ilvl="0" w:tplc="945E768A">
      <w:start w:val="34"/>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6" w15:restartNumberingAfterBreak="0">
    <w:nsid w:val="4CA470DB"/>
    <w:multiLevelType w:val="hybridMultilevel"/>
    <w:tmpl w:val="FE6C1A44"/>
    <w:lvl w:ilvl="0" w:tplc="5056578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7" w15:restartNumberingAfterBreak="0">
    <w:nsid w:val="4F02394B"/>
    <w:multiLevelType w:val="hybridMultilevel"/>
    <w:tmpl w:val="8D00CDA8"/>
    <w:lvl w:ilvl="0" w:tplc="7C10E54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E028D9"/>
    <w:multiLevelType w:val="hybridMultilevel"/>
    <w:tmpl w:val="9BD492F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7145602"/>
    <w:multiLevelType w:val="hybridMultilevel"/>
    <w:tmpl w:val="6A54A654"/>
    <w:lvl w:ilvl="0" w:tplc="987E93B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95E2C81"/>
    <w:multiLevelType w:val="hybridMultilevel"/>
    <w:tmpl w:val="E6E801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5BEC42B3"/>
    <w:multiLevelType w:val="hybridMultilevel"/>
    <w:tmpl w:val="431C1A02"/>
    <w:lvl w:ilvl="0" w:tplc="7534E47A">
      <w:start w:val="1"/>
      <w:numFmt w:val="upperRoman"/>
      <w:lvlText w:val="%1."/>
      <w:lvlJc w:val="right"/>
      <w:pPr>
        <w:ind w:left="720" w:hanging="360"/>
      </w:pPr>
      <w:rPr>
        <w:b/>
        <w:strike w:val="0"/>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64211FDF"/>
    <w:multiLevelType w:val="hybridMultilevel"/>
    <w:tmpl w:val="88CA1404"/>
    <w:lvl w:ilvl="0" w:tplc="3AEA9DE0">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64A13B76"/>
    <w:multiLevelType w:val="hybridMultilevel"/>
    <w:tmpl w:val="CDFE26D2"/>
    <w:lvl w:ilvl="0" w:tplc="B1A0BEF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5312AF4"/>
    <w:multiLevelType w:val="hybridMultilevel"/>
    <w:tmpl w:val="31862B6C"/>
    <w:lvl w:ilvl="0" w:tplc="EB106F86">
      <w:start w:val="1"/>
      <w:numFmt w:val="upperRoman"/>
      <w:lvlText w:val="%1."/>
      <w:lvlJc w:val="left"/>
      <w:pPr>
        <w:ind w:left="1428" w:hanging="72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77862798"/>
    <w:multiLevelType w:val="hybridMultilevel"/>
    <w:tmpl w:val="6C1CCE3A"/>
    <w:lvl w:ilvl="0" w:tplc="8048AC9A">
      <w:start w:val="1"/>
      <w:numFmt w:val="upperRoman"/>
      <w:lvlText w:val="%1."/>
      <w:lvlJc w:val="left"/>
      <w:pPr>
        <w:ind w:left="1080" w:hanging="72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6" w15:restartNumberingAfterBreak="0">
    <w:nsid w:val="7E8A3BA9"/>
    <w:multiLevelType w:val="hybridMultilevel"/>
    <w:tmpl w:val="60F29BE0"/>
    <w:lvl w:ilvl="0" w:tplc="A8181300">
      <w:start w:val="1"/>
      <w:numFmt w:val="upperRoman"/>
      <w:lvlText w:val="%1."/>
      <w:lvlJc w:val="left"/>
      <w:pPr>
        <w:ind w:left="1428" w:hanging="72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num w:numId="1" w16cid:durableId="753087992">
    <w:abstractNumId w:val="6"/>
  </w:num>
  <w:num w:numId="2" w16cid:durableId="2077974548">
    <w:abstractNumId w:val="0"/>
  </w:num>
  <w:num w:numId="3" w16cid:durableId="1098989316">
    <w:abstractNumId w:val="5"/>
  </w:num>
  <w:num w:numId="4" w16cid:durableId="1688217962">
    <w:abstractNumId w:val="3"/>
  </w:num>
  <w:num w:numId="5" w16cid:durableId="1180853857">
    <w:abstractNumId w:val="8"/>
  </w:num>
  <w:num w:numId="6" w16cid:durableId="2079285826">
    <w:abstractNumId w:val="3"/>
  </w:num>
  <w:num w:numId="7" w16cid:durableId="465121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8673011">
    <w:abstractNumId w:val="15"/>
  </w:num>
  <w:num w:numId="9" w16cid:durableId="1979067284">
    <w:abstractNumId w:val="12"/>
  </w:num>
  <w:num w:numId="10" w16cid:durableId="356396456">
    <w:abstractNumId w:val="16"/>
  </w:num>
  <w:num w:numId="11" w16cid:durableId="174195652">
    <w:abstractNumId w:val="14"/>
  </w:num>
  <w:num w:numId="12" w16cid:durableId="1909800700">
    <w:abstractNumId w:val="7"/>
  </w:num>
  <w:num w:numId="13" w16cid:durableId="337856020">
    <w:abstractNumId w:val="1"/>
  </w:num>
  <w:num w:numId="14" w16cid:durableId="577449348">
    <w:abstractNumId w:val="13"/>
  </w:num>
  <w:num w:numId="15" w16cid:durableId="33888503">
    <w:abstractNumId w:val="10"/>
  </w:num>
  <w:num w:numId="16" w16cid:durableId="575474893">
    <w:abstractNumId w:val="4"/>
  </w:num>
  <w:num w:numId="17" w16cid:durableId="955713780">
    <w:abstractNumId w:val="2"/>
  </w:num>
  <w:num w:numId="18" w16cid:durableId="14349319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79700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5E1"/>
    <w:rsid w:val="00347185"/>
    <w:rsid w:val="004B1E39"/>
    <w:rsid w:val="004D10B6"/>
    <w:rsid w:val="007503AD"/>
    <w:rsid w:val="008D26E4"/>
    <w:rsid w:val="00930889"/>
    <w:rsid w:val="00C575E1"/>
    <w:rsid w:val="00E87A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D107"/>
  <w15:docId w15:val="{48648DB8-068E-4D99-974A-D5F563A2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paragraph" w:styleId="Tekstbalonia">
    <w:name w:val="Balloon Text"/>
    <w:aliases w:val="Odlomak popisa Char,Tekst balončića Char1 Char,Odlomak popisa Char Char Char,Tekst balončića Char1 Char Char Char,Odlomak popisa Char Char Char Char Char"/>
    <w:basedOn w:val="Normal"/>
    <w:link w:val="Odlomakpopisa"/>
    <w:semiHidden/>
    <w:pPr>
      <w:spacing w:after="0" w:line="240" w:lineRule="auto"/>
    </w:pPr>
    <w:rPr>
      <w:rFonts w:ascii="Tahoma" w:hAnsi="Tahoma"/>
      <w:sz w:val="16"/>
    </w:rPr>
  </w:style>
  <w:style w:type="paragraph" w:styleId="Odlomakpopisa">
    <w:name w:val="List Paragraph"/>
    <w:aliases w:val="Tekst balončića Char1,Odlomak popisa Char Char,Tekst balončića Char1 Char Char,Odlomak popisa Char Char Char Char,Tekst balončića Char1 Char Char Char Char,Odlomak popisa Char Char Char Char Char Char"/>
    <w:basedOn w:val="Normal"/>
    <w:link w:val="Tekstbalonia"/>
    <w:qFormat/>
    <w:pPr>
      <w:ind w:left="720"/>
      <w:contextualSpacing/>
    </w:pPr>
  </w:style>
  <w:style w:type="paragraph" w:customStyle="1" w:styleId="Default">
    <w:name w:val="Default"/>
    <w:pPr>
      <w:spacing w:after="0" w:line="240" w:lineRule="auto"/>
    </w:pPr>
    <w:rPr>
      <w:rFonts w:ascii="Times New Roman" w:hAnsi="Times New Roman"/>
      <w:color w:val="000000"/>
      <w:sz w:val="24"/>
    </w:rPr>
  </w:style>
  <w:style w:type="paragraph" w:customStyle="1" w:styleId="box469223">
    <w:name w:val="box_469223"/>
    <w:basedOn w:val="Normal"/>
    <w:pPr>
      <w:spacing w:before="100" w:beforeAutospacing="1" w:after="100" w:afterAutospacing="1" w:line="240" w:lineRule="auto"/>
    </w:pPr>
    <w:rPr>
      <w:rFonts w:ascii="Times New Roman" w:hAnsi="Times New Roman"/>
      <w:sz w:val="24"/>
      <w:lang w:eastAsia="hr-HR"/>
    </w:rPr>
  </w:style>
  <w:style w:type="paragraph" w:styleId="StandardWeb">
    <w:name w:val="Normal (Web)"/>
    <w:aliases w:val="Tekst fusnote Char1,Standard (Web) Char Char,Tekst fusnote Char1 Char Char,Standard (Web) Char Char Char Char,Tekst fusnote Char1 Char Char Char Char"/>
    <w:basedOn w:val="Normal"/>
    <w:link w:val="Tekstfusnote"/>
    <w:pPr>
      <w:spacing w:after="0" w:line="240" w:lineRule="auto"/>
    </w:pPr>
    <w:rPr>
      <w:rFonts w:ascii="Times" w:hAnsi="Times"/>
      <w:sz w:val="20"/>
      <w:lang w:val="en-US"/>
    </w:rPr>
  </w:style>
  <w:style w:type="paragraph" w:styleId="Bezproreda">
    <w:name w:val="No Spacing"/>
    <w:qFormat/>
    <w:pPr>
      <w:spacing w:after="0" w:line="240" w:lineRule="auto"/>
    </w:pPr>
  </w:style>
  <w:style w:type="paragraph" w:styleId="Tekstfusnote">
    <w:name w:val="footnote text"/>
    <w:aliases w:val="Standard (Web) Char,Tekst fusnote Char1 Char,Standard (Web) Char Char Char,Tekst fusnote Char1 Char Char Char,Standard (Web) Char Char Char Char Char,Tekst fusnote Char1 Char Char Char Char Char"/>
    <w:basedOn w:val="Normal"/>
    <w:link w:val="StandardWeb"/>
    <w:semiHidden/>
    <w:pPr>
      <w:spacing w:after="0" w:line="240" w:lineRule="auto"/>
    </w:pPr>
    <w:rPr>
      <w:sz w:val="20"/>
    </w:rPr>
  </w:style>
  <w:style w:type="character" w:styleId="Hiperveza">
    <w:name w:val="Hyperlink"/>
    <w:basedOn w:val="Zadanifontodlomka"/>
    <w:rPr>
      <w:color w:val="0000FF"/>
      <w:u w:val="single"/>
    </w:rPr>
  </w:style>
  <w:style w:type="character" w:customStyle="1" w:styleId="ZaglavljeChar">
    <w:name w:val="Zaglavlje Char"/>
    <w:basedOn w:val="Zadanifontodlomka"/>
  </w:style>
  <w:style w:type="character" w:customStyle="1" w:styleId="PodnojeChar">
    <w:name w:val="Podnožje Char"/>
    <w:basedOn w:val="Zadanifontodlomka"/>
    <w:link w:val="TekstbaloniaChar"/>
  </w:style>
  <w:style w:type="character" w:customStyle="1" w:styleId="TekstbaloniaChar">
    <w:name w:val="Tekst balončića Char"/>
    <w:basedOn w:val="Zadanifontodlomka"/>
    <w:link w:val="PodnojeChar"/>
    <w:semiHidden/>
    <w:rPr>
      <w:rFonts w:ascii="Tahoma" w:hAnsi="Tahoma"/>
      <w:sz w:val="16"/>
    </w:rPr>
  </w:style>
  <w:style w:type="character" w:styleId="SlijeenaHiperveza">
    <w:name w:val="FollowedHyperlink"/>
    <w:basedOn w:val="Zadanifontodlomka"/>
    <w:semiHidden/>
    <w:rPr>
      <w:color w:val="800080"/>
      <w:u w:val="single"/>
    </w:rPr>
  </w:style>
  <w:style w:type="character" w:customStyle="1" w:styleId="kurziv">
    <w:name w:val="kurziv"/>
    <w:basedOn w:val="Zadanifontodlomka"/>
  </w:style>
  <w:style w:type="character" w:customStyle="1" w:styleId="TekstfusnoteChar">
    <w:name w:val="Tekst fusnote Char"/>
    <w:basedOn w:val="Zadanifontodlomka"/>
    <w:semiHidden/>
    <w:rPr>
      <w:sz w:val="20"/>
    </w:rPr>
  </w:style>
  <w:style w:type="character" w:styleId="Referencafusnote">
    <w:name w:val="footnote reference"/>
    <w:basedOn w:val="Zadanifontodlomka"/>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2204</Words>
  <Characters>12566</Characters>
  <Application>Microsoft Office Word</Application>
  <DocSecurity>0</DocSecurity>
  <Lines>104</Lines>
  <Paragraphs>29</Paragraphs>
  <ScaleCrop>false</ScaleCrop>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Zabčić</dc:creator>
  <cp:keywords/>
  <dc:description/>
  <cp:lastModifiedBy>Daniel Zabčić</cp:lastModifiedBy>
  <cp:revision>4</cp:revision>
  <dcterms:created xsi:type="dcterms:W3CDTF">2024-06-26T15:37:00Z</dcterms:created>
  <dcterms:modified xsi:type="dcterms:W3CDTF">2024-06-27T10:38:00Z</dcterms:modified>
</cp:coreProperties>
</file>