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3544" w14:textId="121B7670" w:rsidR="004C2B87" w:rsidRPr="00E64225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KLASA:P-</w:t>
      </w:r>
      <w:r w:rsidR="00034EF2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95/21</w:t>
      </w:r>
    </w:p>
    <w:p w14:paraId="363BF960" w14:textId="2FB7DA58" w:rsidR="004C2B87" w:rsidRPr="00E64225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URBROJ:711-02-01/0</w:t>
      </w:r>
      <w:r w:rsidR="008C64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-2024-0</w:t>
      </w:r>
      <w:r w:rsidR="00E64225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502B9469" w14:textId="77777777" w:rsidR="004C2B87" w:rsidRPr="00E64225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0FDD25" w14:textId="6FBB2D56" w:rsidR="008F7FEA" w:rsidRPr="00E6422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761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B418F9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C2B87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E642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C7A3EDF" w:rsidR="00F825D0" w:rsidRPr="00E64225" w:rsidRDefault="00F825D0" w:rsidP="004C2B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     </w:t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64225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E64225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E64225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sastavu </w:t>
      </w:r>
      <w:r w:rsidR="00243338" w:rsidRPr="00E64225">
        <w:rPr>
          <w:rFonts w:ascii="Times New Roman" w:hAnsi="Times New Roman" w:cs="Times New Roman"/>
          <w:sz w:val="24"/>
          <w:szCs w:val="24"/>
        </w:rPr>
        <w:t>Aleksandre Jozić-Ileković</w:t>
      </w:r>
      <w:r w:rsidR="00AF7311" w:rsidRPr="00E64225">
        <w:rPr>
          <w:rFonts w:ascii="Times New Roman" w:hAnsi="Times New Roman" w:cs="Times New Roman"/>
          <w:sz w:val="24"/>
          <w:szCs w:val="24"/>
        </w:rPr>
        <w:t>,</w:t>
      </w:r>
      <w:r w:rsidRPr="00E64225">
        <w:rPr>
          <w:rFonts w:ascii="Times New Roman" w:hAnsi="Times New Roman" w:cs="Times New Roman"/>
          <w:sz w:val="24"/>
          <w:szCs w:val="24"/>
        </w:rPr>
        <w:t xml:space="preserve"> kao predsjednice Povjerenstv</w:t>
      </w:r>
      <w:r w:rsidR="00BF6043" w:rsidRPr="00E64225">
        <w:rPr>
          <w:rFonts w:ascii="Times New Roman" w:hAnsi="Times New Roman" w:cs="Times New Roman"/>
          <w:sz w:val="24"/>
          <w:szCs w:val="24"/>
        </w:rPr>
        <w:t>a</w:t>
      </w:r>
      <w:r w:rsidR="00B418F9" w:rsidRPr="00E64225">
        <w:rPr>
          <w:rFonts w:ascii="Times New Roman" w:hAnsi="Times New Roman" w:cs="Times New Roman"/>
          <w:sz w:val="24"/>
          <w:szCs w:val="24"/>
        </w:rPr>
        <w:t xml:space="preserve">, </w:t>
      </w:r>
      <w:r w:rsidR="00243338" w:rsidRPr="00E64225">
        <w:rPr>
          <w:rFonts w:ascii="Times New Roman" w:hAnsi="Times New Roman" w:cs="Times New Roman"/>
          <w:sz w:val="24"/>
          <w:szCs w:val="24"/>
        </w:rPr>
        <w:t>Igora Lukača</w:t>
      </w:r>
      <w:r w:rsidR="00D4143C" w:rsidRPr="00E64225">
        <w:rPr>
          <w:rFonts w:ascii="Times New Roman" w:hAnsi="Times New Roman" w:cs="Times New Roman"/>
          <w:sz w:val="24"/>
          <w:szCs w:val="24"/>
        </w:rPr>
        <w:t xml:space="preserve">, </w:t>
      </w:r>
      <w:r w:rsidR="00E64225" w:rsidRPr="00E64225">
        <w:rPr>
          <w:rFonts w:ascii="Times New Roman" w:hAnsi="Times New Roman" w:cs="Times New Roman"/>
          <w:sz w:val="24"/>
          <w:szCs w:val="24"/>
        </w:rPr>
        <w:t xml:space="preserve">Nike Nodilo Lakoš, </w:t>
      </w:r>
      <w:r w:rsidR="00D4143C" w:rsidRPr="00E64225">
        <w:rPr>
          <w:rFonts w:ascii="Times New Roman" w:hAnsi="Times New Roman" w:cs="Times New Roman"/>
          <w:sz w:val="24"/>
          <w:szCs w:val="24"/>
        </w:rPr>
        <w:t>Ines Pavlačić</w:t>
      </w:r>
      <w:r w:rsidR="00E83120" w:rsidRPr="00E64225">
        <w:rPr>
          <w:rFonts w:ascii="Times New Roman" w:hAnsi="Times New Roman" w:cs="Times New Roman"/>
          <w:sz w:val="24"/>
          <w:szCs w:val="24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i </w:t>
      </w:r>
      <w:r w:rsidR="00C66C01" w:rsidRPr="00E64225">
        <w:rPr>
          <w:rFonts w:ascii="Times New Roman" w:hAnsi="Times New Roman" w:cs="Times New Roman"/>
          <w:sz w:val="24"/>
          <w:szCs w:val="24"/>
        </w:rPr>
        <w:t>Ane Poljak</w:t>
      </w:r>
      <w:r w:rsidRPr="00E64225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E64225">
        <w:rPr>
          <w:rFonts w:ascii="Times New Roman" w:hAnsi="Times New Roman" w:cs="Times New Roman"/>
          <w:sz w:val="24"/>
          <w:szCs w:val="24"/>
        </w:rPr>
        <w:t xml:space="preserve"> članka 32. stavka 1. podstavka 3. i</w:t>
      </w:r>
      <w:r w:rsidRPr="00E64225">
        <w:rPr>
          <w:rFonts w:ascii="Times New Roman" w:hAnsi="Times New Roman" w:cs="Times New Roman"/>
          <w:sz w:val="24"/>
          <w:szCs w:val="24"/>
        </w:rPr>
        <w:t xml:space="preserve"> članka </w:t>
      </w:r>
      <w:r w:rsidR="008311E1" w:rsidRPr="00E64225">
        <w:rPr>
          <w:rFonts w:ascii="Times New Roman" w:hAnsi="Times New Roman" w:cs="Times New Roman"/>
          <w:sz w:val="24"/>
          <w:szCs w:val="24"/>
        </w:rPr>
        <w:t>44</w:t>
      </w:r>
      <w:r w:rsidRPr="00E64225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E64225">
        <w:rPr>
          <w:rFonts w:ascii="Times New Roman" w:hAnsi="Times New Roman" w:cs="Times New Roman"/>
          <w:sz w:val="24"/>
          <w:szCs w:val="24"/>
        </w:rPr>
        <w:t>2</w:t>
      </w:r>
      <w:r w:rsidRPr="00E64225">
        <w:rPr>
          <w:rFonts w:ascii="Times New Roman" w:hAnsi="Times New Roman" w:cs="Times New Roman"/>
          <w:sz w:val="24"/>
          <w:szCs w:val="24"/>
        </w:rPr>
        <w:t>. Zakona o sprječavanju sukoba interesa („Narodne novine“</w:t>
      </w:r>
      <w:r w:rsidR="006900BE" w:rsidRPr="00E64225">
        <w:rPr>
          <w:rFonts w:ascii="Times New Roman" w:hAnsi="Times New Roman" w:cs="Times New Roman"/>
          <w:sz w:val="24"/>
          <w:szCs w:val="24"/>
        </w:rPr>
        <w:t>,</w:t>
      </w:r>
      <w:r w:rsidRPr="00E64225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E64225">
        <w:rPr>
          <w:rFonts w:ascii="Times New Roman" w:hAnsi="Times New Roman" w:cs="Times New Roman"/>
          <w:sz w:val="24"/>
          <w:szCs w:val="24"/>
        </w:rPr>
        <w:t>143/21</w:t>
      </w:r>
      <w:r w:rsidR="006900BE" w:rsidRPr="00E64225">
        <w:rPr>
          <w:rFonts w:ascii="Times New Roman" w:hAnsi="Times New Roman" w:cs="Times New Roman"/>
          <w:sz w:val="24"/>
          <w:szCs w:val="24"/>
        </w:rPr>
        <w:t>.</w:t>
      </w:r>
      <w:r w:rsidR="00C81761" w:rsidRPr="00E64225">
        <w:rPr>
          <w:rFonts w:ascii="Times New Roman" w:hAnsi="Times New Roman" w:cs="Times New Roman"/>
          <w:sz w:val="24"/>
          <w:szCs w:val="24"/>
        </w:rPr>
        <w:t xml:space="preserve"> i 36/24., </w:t>
      </w:r>
      <w:r w:rsidR="002C66FD" w:rsidRPr="00E64225">
        <w:rPr>
          <w:rFonts w:ascii="Times New Roman" w:hAnsi="Times New Roman" w:cs="Times New Roman"/>
          <w:sz w:val="24"/>
          <w:szCs w:val="24"/>
        </w:rPr>
        <w:t>u daljnjem tekstu ZSSI</w:t>
      </w:r>
      <w:r w:rsidRPr="00E64225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E64225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79203D" w:rsidRPr="00E64225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034EF2" w:rsidRPr="00E64225">
        <w:rPr>
          <w:rFonts w:ascii="Times New Roman" w:hAnsi="Times New Roman" w:cs="Times New Roman"/>
          <w:b/>
          <w:bCs/>
          <w:sz w:val="24"/>
          <w:szCs w:val="24"/>
        </w:rPr>
        <w:t xml:space="preserve">Milorada Delića, općinskog načelnika Općine Vrhovine, </w:t>
      </w:r>
      <w:r w:rsidR="00E64225" w:rsidRPr="00E64225">
        <w:rPr>
          <w:rFonts w:ascii="Times New Roman" w:hAnsi="Times New Roman" w:cs="Times New Roman"/>
          <w:b/>
          <w:bCs/>
          <w:sz w:val="24"/>
          <w:szCs w:val="24"/>
        </w:rPr>
        <w:t xml:space="preserve">OIB: </w:t>
      </w:r>
      <w:r w:rsidR="00983E88" w:rsidRPr="007F14B8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</w:t>
      </w:r>
      <w:r w:rsidR="00E64225" w:rsidRPr="007F14B8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64225" w:rsidRPr="00E64225">
        <w:rPr>
          <w:rFonts w:ascii="Times New Roman" w:hAnsi="Times New Roman" w:cs="Times New Roman"/>
          <w:sz w:val="24"/>
          <w:szCs w:val="24"/>
        </w:rPr>
        <w:t xml:space="preserve"> </w:t>
      </w:r>
      <w:r w:rsidR="00E64225">
        <w:rPr>
          <w:rFonts w:ascii="Times New Roman" w:hAnsi="Times New Roman" w:cs="Times New Roman"/>
          <w:sz w:val="24"/>
          <w:szCs w:val="24"/>
        </w:rPr>
        <w:t xml:space="preserve">pokrenutom na stručnom sastanku 27. veljače 2024., </w:t>
      </w:r>
      <w:r w:rsidRPr="00E6422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C2B87" w:rsidRPr="00E64225">
        <w:rPr>
          <w:rFonts w:ascii="Times New Roman" w:hAnsi="Times New Roman" w:cs="Times New Roman"/>
          <w:bCs/>
          <w:sz w:val="24"/>
          <w:szCs w:val="24"/>
        </w:rPr>
        <w:t>4</w:t>
      </w:r>
      <w:r w:rsidR="00C81761" w:rsidRPr="00E64225">
        <w:rPr>
          <w:rFonts w:ascii="Times New Roman" w:hAnsi="Times New Roman" w:cs="Times New Roman"/>
          <w:bCs/>
          <w:sz w:val="24"/>
          <w:szCs w:val="24"/>
        </w:rPr>
        <w:t>9</w:t>
      </w:r>
      <w:r w:rsidRPr="00E64225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81761" w:rsidRPr="00E64225">
        <w:rPr>
          <w:rFonts w:ascii="Times New Roman" w:hAnsi="Times New Roman" w:cs="Times New Roman"/>
          <w:sz w:val="24"/>
          <w:szCs w:val="24"/>
        </w:rPr>
        <w:t>6. svibnja</w:t>
      </w:r>
      <w:r w:rsidR="00E20C6F" w:rsidRPr="00E64225">
        <w:rPr>
          <w:rFonts w:ascii="Times New Roman" w:hAnsi="Times New Roman" w:cs="Times New Roman"/>
          <w:sz w:val="24"/>
          <w:szCs w:val="24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>20</w:t>
      </w:r>
      <w:r w:rsidR="00E20C6F" w:rsidRPr="00E64225">
        <w:rPr>
          <w:rFonts w:ascii="Times New Roman" w:hAnsi="Times New Roman" w:cs="Times New Roman"/>
          <w:sz w:val="24"/>
          <w:szCs w:val="24"/>
        </w:rPr>
        <w:t>2</w:t>
      </w:r>
      <w:r w:rsidR="004C2B87" w:rsidRPr="00E64225">
        <w:rPr>
          <w:rFonts w:ascii="Times New Roman" w:hAnsi="Times New Roman" w:cs="Times New Roman"/>
          <w:sz w:val="24"/>
          <w:szCs w:val="24"/>
        </w:rPr>
        <w:t>4</w:t>
      </w:r>
      <w:r w:rsidRPr="00E64225">
        <w:rPr>
          <w:rFonts w:ascii="Times New Roman" w:hAnsi="Times New Roman" w:cs="Times New Roman"/>
          <w:sz w:val="24"/>
          <w:szCs w:val="24"/>
        </w:rPr>
        <w:t xml:space="preserve">., donosi sljedeću   </w:t>
      </w:r>
    </w:p>
    <w:p w14:paraId="08448DCE" w14:textId="77777777" w:rsidR="00F825D0" w:rsidRPr="00E6422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E6422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22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E6422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25BD9" w14:textId="6511562B" w:rsidR="00034EF2" w:rsidRPr="00E64225" w:rsidRDefault="0015140F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Propustom da po pisanom pozivu Povjerenstva priloži odgovarajuće dokaze potrebne za usklađivanje prijavljene imovine u izvješćima o imovinskom stanju dužnosnika i stanja imovine kako proizlazi iz podataka pribavljenih od nadležnih tijela, </w:t>
      </w:r>
      <w:r w:rsidR="00034EF2"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u odnosu na nesklad i nesrazmjer između prijavljene imovine iz imovinskih kartica obveznika podnesenih 10. srpnja 2013., 21. srpnja 2017.i </w:t>
      </w:r>
      <w:r w:rsidR="00E64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4EF2" w:rsidRPr="00E64225">
        <w:rPr>
          <w:rFonts w:ascii="Times New Roman" w:eastAsia="Calibri" w:hAnsi="Times New Roman" w:cs="Times New Roman"/>
          <w:b/>
          <w:sz w:val="24"/>
          <w:szCs w:val="24"/>
        </w:rPr>
        <w:t>1. kolovoza 2019. i stanja imovine kako proizlazi iz podataka pribavljenih od nadležnih tijela, i to u pogledu:</w:t>
      </w:r>
    </w:p>
    <w:p w14:paraId="0F1A6488" w14:textId="68E48A94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kuća, pomoćna zgrada i dvorište,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za koje je u imovinskoj kartici od 10. srpnja 2013. prijavljena površina od 90,00 m2, u imovinskoj kartici od 21. srpnja 2017. prijavljena površina od 120,00 m², a u imovinskoj kartici od 01. kolovoza 2019. prijavljena površina od 260,00 m², dok je u zemljišnim knjigama navedena ukupna površina od 1.762 m², </w:t>
      </w:r>
    </w:p>
    <w:p w14:paraId="028F80F0" w14:textId="60BB560B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oranica, površine 1475,00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E26B0C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u vlasništvu obveznika od 2010., a koju obveznik nije prijavio u navedenim provjeravanim imovinskim karticama </w:t>
      </w:r>
    </w:p>
    <w:p w14:paraId="56522E42" w14:textId="125DE25E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oranica, površine 665,00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u vlasništvu obveznika, a koju obveznik nije prijavio kao bitnu promjenu istekom 2015., kada je nekretnina stečena,</w:t>
      </w:r>
    </w:p>
    <w:p w14:paraId="29C5873A" w14:textId="03DB4475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livada, površine 1 jutro i 1009,00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u suvlasništvu obveznika (suvlasnički udio iznosi 3/5), a koju obveznik nije prijavio kao bitnu promjenu istekom 2016., kada je nekretnina stečena,</w:t>
      </w:r>
    </w:p>
    <w:p w14:paraId="19E1801C" w14:textId="4233DF3A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nekretnine označene kao oranica, površine 813,00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vlasništvu bračnog druga obveznika, a koju obveznik nije prijavio kao bitnu promjenu istekom 2019., kada je nekretnina stečena,</w:t>
      </w:r>
    </w:p>
    <w:p w14:paraId="7AFC62F2" w14:textId="33D2E4D2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livada, ukupne površine 949,00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>, upisane u k. o</w:t>
      </w:r>
      <w:r w:rsidR="00983E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vlasništvu obveznika, a koju obveznik nije prijavio kao bitnu promjenu istekom 2020., kada je nekretnina stečena,</w:t>
      </w:r>
    </w:p>
    <w:p w14:paraId="3F6CE7A2" w14:textId="154AA34F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livada, površine 485,00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upisanu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vlasništvu obveznika, a koju obveznik nije prijavio kao bitnu promjenu istekom 2020., kada je nekretnina stečena,</w:t>
      </w:r>
    </w:p>
    <w:p w14:paraId="4FFF064C" w14:textId="5D095BEC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oranica, površine 1179,00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upisanu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suvlasništvu obveznika (suvlasnički udio iznosi 32/180), a koju obveznik nije prijavio kao bitnu promjenu istekom 2020., kada je nekretnina stečena,</w:t>
      </w:r>
    </w:p>
    <w:p w14:paraId="05A1604A" w14:textId="6CA55421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oranica, ukupne površine 680,00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suvlasništvu obveznika (suvlasnički udio iznosi 8/15), a koje obveznik nije prijavio kao bitnu promjenu istekom 2020., kada je nekretnina stečena,</w:t>
      </w:r>
    </w:p>
    <w:p w14:paraId="1AF79FB9" w14:textId="6BCB1B1F" w:rsidR="00034EF2" w:rsidRPr="00E64225" w:rsidRDefault="00034EF2" w:rsidP="00034E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- nekretnine označene kao livade, ukupne površine 1597,00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čhv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, upisane u k. o.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983E88"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Pr="00983E88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 xml:space="preserve">,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>u suvlasništvu obveznika (suvlasnički udio iznosi 128/384), a koje obveznik nije prijavio kao bitnu promjenu istekom 2020., kada je nekretnina stečena</w:t>
      </w:r>
    </w:p>
    <w:p w14:paraId="14972F6E" w14:textId="737F6F6E" w:rsidR="008E42C0" w:rsidRPr="00E64225" w:rsidRDefault="0015140F" w:rsidP="00034E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obveznik </w:t>
      </w:r>
      <w:r w:rsidR="00EB4499"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Milorad Delić </w:t>
      </w:r>
      <w:r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počinio je povredu članka 27. ZSSI-a, u vezi s člankom 8. i 9. ZSSI-a </w:t>
      </w:r>
      <w:r w:rsidR="00083F12"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Zakona o sprječavanju sukoba interesa </w:t>
      </w:r>
      <w:r w:rsidR="00083F12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(„Narodne novine“ broj 26/11., 12/12., 126/12., 48/13., 57/15. i 98/19. u daljnjem tekstu ZSSI/11).</w:t>
      </w:r>
      <w:r w:rsidR="00083F12" w:rsidRPr="00E6422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49713C0" w14:textId="3BE22B96" w:rsidR="00633242" w:rsidRPr="00E64225" w:rsidRDefault="0015140F" w:rsidP="00AC63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Za povredu ZSSI</w:t>
      </w:r>
      <w:r w:rsidR="00E64225">
        <w:rPr>
          <w:rFonts w:ascii="Times New Roman" w:eastAsia="Calibri" w:hAnsi="Times New Roman" w:cs="Times New Roman"/>
          <w:b/>
          <w:bCs/>
          <w:sz w:val="24"/>
          <w:szCs w:val="24"/>
        </w:rPr>
        <w:t>-a/11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opisanu pod točkom I. ove izreke, dužnosniku </w:t>
      </w:r>
      <w:r w:rsidR="00EB4499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Miloradu Deliću</w:t>
      </w:r>
      <w:r w:rsidR="00FE02AF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 izriče sankcija iz članka 42. stavka 1. podstavka 2. </w:t>
      </w:r>
      <w:r w:rsidR="00E64225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ZSSI</w:t>
      </w:r>
      <w:r w:rsidR="00E64225">
        <w:rPr>
          <w:rFonts w:ascii="Times New Roman" w:eastAsia="Calibri" w:hAnsi="Times New Roman" w:cs="Times New Roman"/>
          <w:b/>
          <w:bCs/>
          <w:sz w:val="24"/>
          <w:szCs w:val="24"/>
        </w:rPr>
        <w:t>-a/11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31ECC" w:rsidRPr="00E64225">
        <w:rPr>
          <w:rFonts w:ascii="Times New Roman" w:hAnsi="Times New Roman" w:cs="Times New Roman"/>
          <w:sz w:val="24"/>
          <w:szCs w:val="24"/>
        </w:rPr>
        <w:t xml:space="preserve"> 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obustava isplate dijela neto mjesečne plaće u ukupnom iznosu od ukupnom iznosu od </w:t>
      </w:r>
      <w:r w:rsidR="00EB4499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1.000,00</w:t>
      </w:r>
      <w:r w:rsidR="00847342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eura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koja će trajati </w:t>
      </w:r>
      <w:r w:rsidR="00EB4499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mjesec</w:t>
      </w:r>
      <w:r w:rsidR="00847342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a izvršit će se </w:t>
      </w:r>
      <w:r w:rsidR="00EB4499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u 4</w:t>
      </w:r>
      <w:r w:rsidR="00847342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jednaka uzastopna mjesečna obroka, svaki u pojedinačnom iznosu od </w:t>
      </w:r>
      <w:r w:rsidR="00FE02AF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B4499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E02AF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0,</w:t>
      </w:r>
      <w:r w:rsidR="00BD7541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="00231ECC" w:rsidRP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eura.</w:t>
      </w:r>
    </w:p>
    <w:p w14:paraId="03EBE77D" w14:textId="77777777" w:rsidR="00F825D0" w:rsidRPr="00E64225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225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E6422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66E5BD" w14:textId="38298A62" w:rsidR="00AC633E" w:rsidRPr="00E64225" w:rsidRDefault="00B418F9" w:rsidP="00AC633E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ab/>
      </w:r>
      <w:r w:rsidR="00EB4499" w:rsidRPr="00E64225">
        <w:rPr>
          <w:rFonts w:ascii="Times New Roman" w:hAnsi="Times New Roman" w:cs="Times New Roman"/>
          <w:sz w:val="24"/>
          <w:szCs w:val="24"/>
        </w:rPr>
        <w:t>Povjerenstvo je otvorilo predmet provjere imovinskih kartica obveznika Milorada Delića vezano za prijavu od 26. travnja 2021., koja u bitnom ukazuje kako je obveznik u imovinskim karticama naznačio netočnu površinu nekretnine – obiteljske kuće, za čiju je izgradnju obvezniku darovan građevinski materijal radi stambenog zbrinjavanja, a koju po izgradnji koristi za najam turistima. Prijava je vezana uz medijski članak objavljen u travnju 2021. na portalu Telegram pod naslovom „Telegram doznaje: SDSS-ov načelnik dobio državnu pomoć za obiteljsku kuću. On je od toga napravio apartmane za turizam“, u kojem se ukazuje na izmjene vezane uz nekretnine u obveznikovu vlasništvu još od njegovih najranijih mandata, koji su trajali prije stupanja na snagu ZSSI-a/11 dana 10. ožujka 2011.</w:t>
      </w:r>
    </w:p>
    <w:p w14:paraId="1FB90671" w14:textId="77777777" w:rsidR="00EB4499" w:rsidRPr="00E64225" w:rsidRDefault="00EB4499" w:rsidP="00AC633E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48C78E35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lastRenderedPageBreak/>
        <w:t>Člankom 3. stavkom 1. točkom 39. ZSSI-a/11, koji je bio na snazi do 24. prosinca 2021., bilo je propisano kako su gradonačelnici, općinski načelnici i njihovi zamjenici dužnosnici u smislu navedenog Zakona.</w:t>
      </w:r>
    </w:p>
    <w:p w14:paraId="2AA75914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7111153A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Isto tako, člankom 3. stavkom 1. točkom 34. ZSSI-a (na snazi od 25. prosinca 2021.) propisano je kako su župani, gradonačelnici, općinski načelnici i njihovi zamjenici obveznici u smislu spomenutog Zakona.</w:t>
      </w:r>
    </w:p>
    <w:p w14:paraId="37683E6B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352F5B86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Uvidom u registar obveznika koji Povjerenstvo ustrojava i vodi, utvrđeno je kako je obveznik Milorad Delić obnašao dužnost općinskog načelnika Općine Vrhovine u mandatima 2013. – 2017. i 2017. – 2021., a od 20. svibnja 2021. ponovno obnaša istu dužnost.</w:t>
      </w:r>
    </w:p>
    <w:p w14:paraId="74D6F68C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75BD5503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Slijedom navedenog, obveznik Milorad Delić bio je obvezan postupati sukladno odredbama ranije važećeg ZSSI-a/11 povodom obnašanja navedene dužnosti, a nakon toga i prema odredbama Zakona koji je stupio na snagu 25. prosinca 2021. </w:t>
      </w:r>
    </w:p>
    <w:p w14:paraId="7B73538A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1258D44A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Člankom 27. ZSSI-a propisano je kako redovita provjera podataka iz podnesene imovinske kartice predstavlja provjeru podataka iz članaka 10. do 12. toga Zakona koja se obavlja prikupljanjem, razmjenom podataka i usporedbom prijavljenih podataka o imovini iz podnesenih imovinskih kartica obveznika s pribavljenim podacima od Ministarstva financija, Porezne uprave i drugih nadležnih tijela Republike Hrvatske. </w:t>
      </w:r>
    </w:p>
    <w:p w14:paraId="74D4D7CC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467A0CD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Člankom 28. stavkom 1. ZSSI-a propisano je kako će Povjerenstvo bez odgađanja zatražiti od obveznika pisano očitovanje s potrebnim dokazima ako prilikom provjere podataka proizlazi mogući nesklad, odnosno nerazmjer između prijavljene imovine iz podnesene imovinske kartice sukladno člancima 10. do 12. ZSSI-a (odnosno članaka 8. i 9. prethodno važećeg ZSSI-a/11 u odnosu na imovinske kartice podnesene u razdoblju njegova važenja) i stanja imovine kako proizlazi iz pribavljenih podataka nadležnih tijela iz članka 27. ZSSI-a. Obveznik je dužan, sukladno odredbi članka 28. stavka 2. ZSSI-a, dostaviti Povjerenstvu pisano očitovanje i priložiti odgovarajuće dokaze u roku od 15 dana od dana primitka pisanog zahtjeva.</w:t>
      </w:r>
    </w:p>
    <w:p w14:paraId="36909D55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64F09CF2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Člankom 29. stavkom 1. ZSSI-a propisano je da ako obveznik ne dostavi Povjerenstvu pisano očitovanje iz članka 28. stavka 2. toga Zakona u roku od 15 dana ili ne priloži odgovarajuće dokaze na temelju kojih se osnovano može utvrditi da je stvarno imovinsko stanje bilo istovjetno prijavljenim podacima, a ne podacima pribavljenima od nadležnih tijela, Povjerenstvo će pokrenuti postupak zbog povrede odredbi članka 10., članka 11. i članka 12. stavka 3. toga Zakona ZSSI-a.</w:t>
      </w:r>
    </w:p>
    <w:p w14:paraId="0C29A701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14:paraId="7DC1CC4C" w14:textId="14D796D6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Imajući u vidu okolnosti otvaranja predmeta, potrebno je bilo provesti ciljanu redovitu provjeru pribavljenih podataka u odobrenim imovinskim karticama obveznika, koje su relevantne za razdoblje na koje upućuju navedena saznanja i u odnosu na predmete imovine na koje upućuju navedena saznanja. </w:t>
      </w:r>
    </w:p>
    <w:p w14:paraId="0EC77E64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164882B2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lastRenderedPageBreak/>
        <w:t>Sukladno članku 8. stavku 1. prethodno važećeg ZSSI-a/11 dužnosnici (odnosno obveznici) su obvezni u roku od 30 dana od dana stupanja na dužnost podnijeti izvješće o imovinskom stanju dužnosnika (imovinsku karticu)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 Člankom 8. stavkom 2. prethodno važećeg ZSSI-a/11propisano je, između ostalog, kako su dužnosnici obvezni dostaviti izvješće o imovinskom stanju dužnosnika Povjerenstvu ako tijekom obnašanja javne dužnosti dođe do bitne promjene glede imovinskog stanja, istekom godine u kojoj je promjena nastupila.</w:t>
      </w:r>
    </w:p>
    <w:p w14:paraId="76CA9B43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55B346CF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Sukladno odredbi članka 8. stavka 7. prethodno važećeg ZSSI-a/11 obveznici su dužni, između ostalog, prijaviti podatke o stečenoj imovini, koje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 </w:t>
      </w:r>
    </w:p>
    <w:p w14:paraId="59B05B93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5DB5F137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Člankom 9. ZSSI-a/11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</w:t>
      </w:r>
    </w:p>
    <w:p w14:paraId="27F3AA84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49E15422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Člankom 27. ZSSI-a/11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ZSSI-a/11.</w:t>
      </w:r>
    </w:p>
    <w:p w14:paraId="64656F72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271531D" w14:textId="77777777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Uvidom u evidencije Povjerenstva utvrđeno je kako je obveznik Milorad Delić podnio imovinske kartice 10. srpnja 2013., 21. srpnja 2017. i 1. kolovoza 2019., a koje su relevantne za razdoblje na koje upućuju saznanja i u odnosu na predmete imovine na koje upućuju navedena saznanja. </w:t>
      </w:r>
    </w:p>
    <w:p w14:paraId="708E4C2F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1E0DA050" w14:textId="3D9F7498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Uvidom imovinsku karticu podnesenu povodom početka mandata 10. srpnja 2013.,  utvrđeno je kako je obveznik Milorad Delić u dijelu koji se odnosi na podatke o nekretninama naznačio osobno vlasništvo kuće s okućnicom u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E64225">
        <w:rPr>
          <w:rFonts w:ascii="Times New Roman" w:hAnsi="Times New Roman" w:cs="Times New Roman"/>
          <w:sz w:val="24"/>
          <w:szCs w:val="24"/>
        </w:rPr>
        <w:t xml:space="preserve"> površine 90 m2 (bez naznake mjerne jedinice), dok je u dijelu koji se odnosi na druge primitke prema vrstama dohotka na godišnjoj razini naveo ostvarivanje osobnog dohotka od iznajmljivanja soba turistima.</w:t>
      </w:r>
    </w:p>
    <w:p w14:paraId="0BCBCCA5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4769688" w14:textId="134D7A26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Uvidom imovinsku karticu podnesenu povodom ponovnog imenovanja/izbora na istu dužnost od 21. srpnja 2017., utvrđeno je kako je obveznik Milorad Delić, u odnosu na prethodno </w:t>
      </w:r>
      <w:r w:rsidRPr="00E64225">
        <w:rPr>
          <w:rFonts w:ascii="Times New Roman" w:hAnsi="Times New Roman" w:cs="Times New Roman"/>
          <w:sz w:val="24"/>
          <w:szCs w:val="24"/>
        </w:rPr>
        <w:lastRenderedPageBreak/>
        <w:t xml:space="preserve">podnesenu i odobrenu imovinsku karticu, u dijelu o nekretninama naznačio osobno vlasništvo kuće u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površine 120,00 m², koja je upisana u k. o.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dok je u dijelu o podacima o ostalim prihodim naznačio godišnji iznos koji ostvaruje od iznajmljivanja soba. </w:t>
      </w:r>
    </w:p>
    <w:p w14:paraId="7479A8E8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7A51D3C0" w14:textId="15A41456" w:rsidR="00EB4499" w:rsidRPr="00E64225" w:rsidRDefault="00EB4499" w:rsidP="00EB4499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Nadalje, uvidom u imovinsku karticu podnesenu povodom promjene 01. kolovoza 2019.  u odnosu na prethodno podnesenu i odobrenu imovinsku karticu, utvrđena je promjena samo u odnosu na naznačenu površinu nekretnine – kuće u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>na 260,00 m².</w:t>
      </w:r>
    </w:p>
    <w:p w14:paraId="3035562D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0937C5B5" w14:textId="297DE09B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Uvidom u digitalne podatke matice vjenčanih, za matično područje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za 2005., pod rednim brojem 6, utvrđeno je kako su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i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sklopili bak u 06. kolovoza 2005.</w:t>
      </w:r>
    </w:p>
    <w:p w14:paraId="3BA85D90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451A289E" w14:textId="6D27882F" w:rsidR="00EB4499" w:rsidRPr="00E64225" w:rsidRDefault="00EB4499" w:rsidP="00E64225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Usporedbom OIB-a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navedenog u imovinskim karticama obveznika Milorada Delića i OIB-a navedenog u podacima iz matice vjenčanih i zemljišnoknjižnim izvadcima, utvrđeno je kako je riječ o istoj osobi, odnosno o </w:t>
      </w:r>
      <w:r w:rsidR="00983E88" w:rsidRPr="00983E8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83E8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>kao bračnom drugu obveznika Milorada Delića.</w:t>
      </w:r>
    </w:p>
    <w:p w14:paraId="1794FDEF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49DE66B5" w14:textId="77777777" w:rsidR="00EB4499" w:rsidRPr="00E64225" w:rsidRDefault="00EB4499" w:rsidP="00E64225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odnosu na dio prijave kako obveznik nekretninu iznajmljuje turistima utvrđeno je kako je obveznik Milorad Delić u imovinskim karticama, od imovinske kartice koju je podnio 10. srpnja 2013. navodio prihod ostvaren od iznajmljivanja soba.</w:t>
      </w:r>
    </w:p>
    <w:p w14:paraId="74170006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3168D0F4" w14:textId="77777777" w:rsidR="00EB4499" w:rsidRPr="00E64225" w:rsidRDefault="00EB4499" w:rsidP="00E64225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Nadalje, u odnosu na navod kako je obvezniku za nekretninu koju iznajmljuje darovan građevinski materijal za izgradnju obiteljske kuće od strane Republike Hrvatske, utvrđeno je kako je u zemljišnim knjigama za navedenu nekretninu stajala zabilježba zabrane otuđenja na rok od 10 godina bez suglasnosti nadležnog ministarstva na temelju ugovora o darovanju osnovnog građevinskog materija od 29. siječnja 2010. u skladu sa Zakonom o području posebne državne skrbi, a koju činjenicu obveznik nije mogao niti je bio u obvezi navoditi u imovinskoj kartici s obzirom je obveza nastupila prije 10. ožujka 2011. i stupanja na snagu ZSSI-a/11, slijedom čega isto nije niti obuhvaćeno provjerom.</w:t>
      </w:r>
    </w:p>
    <w:p w14:paraId="1D24F457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DBE5CF6" w14:textId="77777777" w:rsidR="00EB4499" w:rsidRPr="00E64225" w:rsidRDefault="00EB4499" w:rsidP="00E64225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Nadalje, neposrednim uvidom u zemljišne knjige Općinskog suda u Gospiću, Zemljišnoknjižnog odjela Otočac utvrđene su sljedeće nekretnine:</w:t>
      </w:r>
    </w:p>
    <w:p w14:paraId="7B011B69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7485875F" w14:textId="7D24C464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1.      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E642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pod kat. česticu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kuća br.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površine 108 m², pomoćna zgrada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površine 151 m², i dvorište, površine 1503 m², sve zajedno ukupne površine 1762 m², Milorad Delić i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upisani su kao vlasnici spomenutih nekretnina, svaki u ½ suvlasnička dijela, s tim da je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postala suvlasnica nekretnine na temelju ugovora o darovanju do 12. kolovoza 2020., </w:t>
      </w:r>
    </w:p>
    <w:p w14:paraId="41A74E02" w14:textId="20D408DA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2.      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livada, ukupne površine 949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vlasnik na temelju presude P-202/2020-4 od 30. prosinca 2020.,</w:t>
      </w:r>
    </w:p>
    <w:p w14:paraId="4A687E5D" w14:textId="466CF0F8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3.       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označenu kao livada, ukupne površine 485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vlasnik na temelju ugovora o kupoprodaji OV-4305/2020 od 21. prosinca 2020.,</w:t>
      </w:r>
    </w:p>
    <w:p w14:paraId="25C4953F" w14:textId="37B9AAE3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4.      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oranica uz put, ukupne površine 813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, Mirjana Delić upisana je kao vlasnica na temelju ugovora o kupoprodaji OV-3997/2019 od 03. rujna 2019., </w:t>
      </w:r>
    </w:p>
    <w:p w14:paraId="019E551A" w14:textId="00E914E5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lastRenderedPageBreak/>
        <w:t xml:space="preserve">5.        k. o.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livada, ukupne površine 1 jutro i 1009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jedan od više suvlasnika (suvlasnički udio iznos 3/5) nekretnine na temelju ugovora o kupoprodaji OV-4914/2016 od 28. listopada 2016.,</w:t>
      </w:r>
    </w:p>
    <w:p w14:paraId="3233774D" w14:textId="06F996EF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6.          k. o.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oranica, ukupne površine 665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vlasnik na temelju ugovora o kupoprodaji od 20. ožujka 2015.,</w:t>
      </w:r>
    </w:p>
    <w:p w14:paraId="7B7488EE" w14:textId="19AFEFDC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7.         k. o.</w:t>
      </w:r>
      <w:r w:rsidR="007F14B8">
        <w:rPr>
          <w:rFonts w:ascii="Times New Roman" w:hAnsi="Times New Roman" w:cs="Times New Roman"/>
          <w:sz w:val="24"/>
          <w:szCs w:val="24"/>
        </w:rPr>
        <w:t xml:space="preserve">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oranica, ukupne površine 1475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vlasnik na temelju ugovora o kupoprodaji od 05. srpnja 2010.,</w:t>
      </w:r>
    </w:p>
    <w:p w14:paraId="40B61480" w14:textId="23EEED74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8.        k. o.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oranica, ukupne površine 1179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, Milorad Delić upisan kao jedan od više suvlasnika (suvlasnički udio iznos 32/180) nekretnine na temelju ugovora o kupoprodaji OV-3104/2020 od 08. rujna 2020., </w:t>
      </w:r>
    </w:p>
    <w:p w14:paraId="243D424D" w14:textId="60B8A61F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9.        k. o.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oranice, ukupne površine 680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, Milorad Delić upisan je kao jedan od više suvlasnika (suvlasnički udio iznos 5/15) nekretnine na temelju ugovora o kupoprodaji OV-3104/2020 od 08. rujna 2020., </w:t>
      </w:r>
    </w:p>
    <w:p w14:paraId="5D25489B" w14:textId="3D57604F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10.      k. o.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7F14B8" w:rsidRPr="007F14B8">
        <w:rPr>
          <w:rFonts w:ascii="Times New Roman" w:hAnsi="Times New Roman" w:cs="Times New Roman"/>
          <w:sz w:val="24"/>
          <w:szCs w:val="24"/>
          <w:highlight w:val="black"/>
        </w:rPr>
        <w:t>…,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označena kao livade, ukupne površine 1597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Milorad Delić upisan je kao jedan od više suvlasnika (suvlasnički udio iznos 128/384) nekretnine na temelju ugovora o kupoprodaji OV-3104/2020 od 08. rujna 2020.</w:t>
      </w:r>
    </w:p>
    <w:p w14:paraId="7A5F4AD5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34C6B621" w14:textId="77777777" w:rsidR="00EB4499" w:rsidRPr="00E64225" w:rsidRDefault="00EB4499" w:rsidP="005F7516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Slijedom navedenog, usporedbom podataka iz provjeravanih imovinskih kartica obveznika Milorada Delića od 10. srpnja 2013., 21. srpnja 2017. i 01. kolovoza 2019. i prikupljenih podataka od nadležnih tijela proizlazi mogući nesklad i nerazmjer između prijavljenih i prikupljenih podataka u pogledu nekretnina i to:</w:t>
      </w:r>
    </w:p>
    <w:p w14:paraId="4645E76E" w14:textId="22C4A48F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kuće, pomoćne zgrade i dvorišta, upisanih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u pogledu koje proizlazi nerazmjer između prijavljene i uknjižene površine, kao i promjene suvlasništva nad istom,</w:t>
      </w:r>
    </w:p>
    <w:p w14:paraId="02CC3FD4" w14:textId="4FFB08B1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livada, upisanih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bi nesklad bio otklonjen podnošenjem imovinske kartice od 02. lipnja 2021., u kojem je prijavljeno vlasništvo nad nekretninama,</w:t>
      </w:r>
    </w:p>
    <w:p w14:paraId="70B96BD3" w14:textId="0CAD36F8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livade,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bi nesklad bio otklonjen podnošenjem imovinske kartice od 02. lipnja 2021., u kojem je prijavljeno vlasništvo nad nekretninom,</w:t>
      </w:r>
    </w:p>
    <w:p w14:paraId="146A6642" w14:textId="4A07028A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bi nesklad bio otklonjen podnošenjem imovinske kartice od 02. lipnja 2021., u kojem je prijavljeno vlasništvo nad nekretninom,</w:t>
      </w:r>
    </w:p>
    <w:p w14:paraId="50E1AC0C" w14:textId="26326190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livada, upisanih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a koji bi nesklad bio otklonjen podnošenjem imovinske kartice od 02. lipnja 2021., u kojem je prijavljeno vlasništvo nad nekretninama, </w:t>
      </w:r>
    </w:p>
    <w:p w14:paraId="7C92196E" w14:textId="12E28335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bi nesklad bio otklonjen podnošenjem imovinske kartice od 02. lipnja 2021., u kojem je prijavljeno vlasništvo nad nekretninom,</w:t>
      </w:r>
    </w:p>
    <w:p w14:paraId="0BE67F55" w14:textId="4CD6ABB6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nesklad nije otklonjen s obzirom da obveznik navedenu nekretninu nije naveo u provjeravanim imovinskim karticama,</w:t>
      </w:r>
    </w:p>
    <w:p w14:paraId="24AFA8C9" w14:textId="20A1F5A0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nesklad nije otklonjen s obzirom da obveznik navedenu nekretninu nije naveo u provjeravanim imovinskim karticama,</w:t>
      </w:r>
    </w:p>
    <w:p w14:paraId="01EAF6BF" w14:textId="6B1F0518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oranica, upisanih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a koji nesklad nije otklonjen s obzirom da obveznik navedene nekretnine nije naveo u provjeravanim imovinskim karticama, </w:t>
      </w:r>
    </w:p>
    <w:p w14:paraId="2E08BB0E" w14:textId="2AF6778B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livada, upisanih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nesklad nije otklonjen s obzirom da obveznik navedene nekretnine nije naveo u provjeravanim imovinskim karticama,</w:t>
      </w:r>
    </w:p>
    <w:p w14:paraId="4085EB87" w14:textId="60EAB4B3" w:rsidR="00EB4499" w:rsidRPr="00E64225" w:rsidRDefault="00EB4499" w:rsidP="005F7516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- oranice, upisane u 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>a koji nesklad nije otklonjen s obzirom da obveznik navedenu nekretninu nije naveo u provjeravanim imovinskim karticama.</w:t>
      </w:r>
    </w:p>
    <w:p w14:paraId="3A9904BE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1B57B748" w14:textId="77777777" w:rsidR="00EB4499" w:rsidRPr="00E64225" w:rsidRDefault="00EB4499" w:rsidP="005F7516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Povjerenstvo je donijelo Zaključak broj 711-I-12567-RP-23-21/23-02-16 od 28. studenog 2023. kojim je pozvalo obveznika da se očituje na utvrđeni nesklad, odnosno nerazmjer, a na koji se dužnosnik očitovao podneskom zaprimljenim u Povjerenstvu 13. prosinca 2023.</w:t>
      </w:r>
    </w:p>
    <w:p w14:paraId="0F1EF8DC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323DD023" w14:textId="77777777" w:rsidR="00EB4499" w:rsidRPr="00E64225" w:rsidRDefault="00EB4499" w:rsidP="005F7516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očitovanju obveznik navodi sljedeće:</w:t>
      </w:r>
    </w:p>
    <w:p w14:paraId="08669BBF" w14:textId="424B5F16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1.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nekretnine upisane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6371975F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 pitanju je kuća površine 108 m², čija je površina 2013. iznosila 90 m2. Podatak iz 2017. bio je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okviran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, ali točan, jer je na kuću dograđena terasa od 30 m2, koja je u funkciji osnovnog objekta (na temelju glavnog projekta bez građevinske dozvole). Kad je proveden geodetski elaborat i izvršeno ucrtavanje objekata navedene površine su točne. Podatak od 260 m2 odnosi se na kuću i pomoćnu zgradu, ali kako u obrascu imovinske kartice ne postoji rubrika za pomoćni objekt u rubrici koja se odnosi na kuću dodana je i površina pomoćnog objekta. U zemljišnim knjigama nakon ucrtavanja upisano je 259 m2, a navedena je površina od 260 m2 . Površina od 1762 m2 odnosi se na sve, dakle objekte i dvorište. Kuća je izgrađena 2013. (prijavljena u imovinskoj kartici u 2017.), a pomoćni objekt 2020. i sve je prijavljeno u imovinskoj kartici u 2021. </w:t>
      </w:r>
    </w:p>
    <w:p w14:paraId="17C8FF11" w14:textId="00FA9E19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2.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14EDE3B4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pitanju je poljoprivredno zemljište stečeno kupoprodajnim ugovorom 2010. i istu je obveznik zaboravio prijaviti, navodi kako nema neku vrijednost i plaćana je 5.500,00 kuna.</w:t>
      </w:r>
    </w:p>
    <w:p w14:paraId="05453088" w14:textId="6F19F94B" w:rsidR="00EB4499" w:rsidRPr="007F14B8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64225">
        <w:rPr>
          <w:rFonts w:ascii="Times New Roman" w:hAnsi="Times New Roman" w:cs="Times New Roman"/>
          <w:sz w:val="24"/>
          <w:szCs w:val="24"/>
        </w:rPr>
        <w:t>3.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4A639777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pitanju je oranica koju je plaćena 7.300,00 kuna i obveznik nije smatrao kako se radi o nekoj vrijednoj nekretnini, a u posjed iste došao je 2019., stoga ju je prijavio u imovinskoj kartici u 2021.</w:t>
      </w:r>
    </w:p>
    <w:p w14:paraId="69B683B3" w14:textId="6CE56C0F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4.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19E75135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pitanju je poljoprivredno zemljište u suvlasništvu, koju je obveznik platio 6.000,00 kuna, te nije smatrao kako se radi o bitnoj promjeni u imovinskom stanju, jer nije u trenutku kupovine bila pogodna ni za poljoprivrednu proizvodnju. Prijavljena je u imovinskoj kartici u 2022., kada je istu priveo svrsi i na njoj obavlja poljoprivrednu proizvodnju.</w:t>
      </w:r>
    </w:p>
    <w:p w14:paraId="5A23164D" w14:textId="59AA4FAA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5.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0F1B5CB8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 pitanju je oranica koju je kupila obveznikova supruga 2020. za iznos od 8.000,00 kuna, i istu je zaboravio prijaviti u imovinsku karticu, ali ju je prijavio u imovinskoj kartici u 2021. </w:t>
      </w:r>
    </w:p>
    <w:p w14:paraId="27C0C308" w14:textId="35A1A9FF" w:rsidR="00EB4499" w:rsidRPr="007F14B8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64225">
        <w:rPr>
          <w:rFonts w:ascii="Times New Roman" w:hAnsi="Times New Roman" w:cs="Times New Roman"/>
          <w:sz w:val="24"/>
          <w:szCs w:val="24"/>
        </w:rPr>
        <w:t>6.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2906C89F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Radilo se o nekretninama koje je obveznik kupio i koje nisu bile imovinskopravno riješene. Na svoje ime obveznik ih je upisao 27. 01. 2021. i prijavio u imovinskoj kartici u 2021. </w:t>
      </w:r>
    </w:p>
    <w:p w14:paraId="044B56E1" w14:textId="381B4DEE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7.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 .ul.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5950A46B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Nekretnina je kupljena u prosincu 2020. i prijavljena je u imovinskoj kratici u 2021.., a plaćena je 1.500,00 eura </w:t>
      </w:r>
    </w:p>
    <w:p w14:paraId="05C07CEF" w14:textId="01BF1C74" w:rsidR="00EB4499" w:rsidRPr="007F14B8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64225">
        <w:rPr>
          <w:rFonts w:ascii="Times New Roman" w:hAnsi="Times New Roman" w:cs="Times New Roman"/>
          <w:sz w:val="24"/>
          <w:szCs w:val="24"/>
        </w:rPr>
        <w:t>8.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nekretnina upisana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44858B0E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U pitanju je suvlasništvo u dijelu 32/182 na poljoprivrednom zemljištu površine 1179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odnosno 4240 m2, od kojih obveznikov udio iznosi 753 m2, sa još sedam suvlasnika. Nekretnina je plaćena 2.500,00 kuna i obveznik smatram kako se ne radi o bitnoj promjeni u imovini.</w:t>
      </w:r>
    </w:p>
    <w:p w14:paraId="523474B2" w14:textId="1AD4A8D2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9.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nekretnine upisane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416DBDFC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lastRenderedPageBreak/>
        <w:t xml:space="preserve">U pitanju je poljoprivredno zemljište u suvlasništvu, površine 680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>, odnosno 2445 m², od kojih obveznikov suvlasnički dio iznosi 8/15. Zemljište je plaćeno 3.000,00 kuna i obveznik smatra kako se ne radi o bitnoj promjeni u imovini.</w:t>
      </w:r>
    </w:p>
    <w:p w14:paraId="2A1E46E9" w14:textId="1130CABA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10.</w:t>
      </w:r>
      <w:r w:rsidRPr="00E64225">
        <w:rPr>
          <w:rFonts w:ascii="Times New Roman" w:hAnsi="Times New Roman" w:cs="Times New Roman"/>
          <w:sz w:val="24"/>
          <w:szCs w:val="24"/>
        </w:rPr>
        <w:tab/>
        <w:t xml:space="preserve">nekretnine upisane u </w:t>
      </w:r>
      <w:proofErr w:type="spellStart"/>
      <w:r w:rsidRPr="00E6422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64225">
        <w:rPr>
          <w:rFonts w:ascii="Times New Roman" w:hAnsi="Times New Roman" w:cs="Times New Roman"/>
          <w:sz w:val="24"/>
          <w:szCs w:val="24"/>
        </w:rPr>
        <w:t xml:space="preserve">. ul.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7F14B8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Pr="00E64225">
        <w:rPr>
          <w:rFonts w:ascii="Times New Roman" w:hAnsi="Times New Roman" w:cs="Times New Roman"/>
          <w:sz w:val="24"/>
          <w:szCs w:val="24"/>
        </w:rPr>
        <w:t xml:space="preserve">k. o. </w:t>
      </w:r>
      <w:r w:rsidR="00983E88" w:rsidRPr="007F14B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669334BB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 pitanju je poljoprivredno zemljište u suvlasništvu u dijelu 128/384, sa još 10 suvlasnika. Zemljište je plaćeno 2.500,00 kuna u listopadu 2020. Obveznikov udio iznosi 1914 m2 u četiri parcele i realno ne vrijede ništa.</w:t>
      </w:r>
    </w:p>
    <w:p w14:paraId="385ACCD7" w14:textId="77777777" w:rsidR="00EB4499" w:rsidRPr="00E64225" w:rsidRDefault="00EB4499" w:rsidP="00EB44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0E7124F5" w14:textId="483CD54E" w:rsidR="00EB4499" w:rsidRPr="00E64225" w:rsidRDefault="00EB4499" w:rsidP="00FF7BA8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>Uz očitovanje</w:t>
      </w:r>
      <w:r w:rsidR="00FF7BA8" w:rsidRPr="00E64225">
        <w:rPr>
          <w:rFonts w:ascii="Times New Roman" w:hAnsi="Times New Roman" w:cs="Times New Roman"/>
          <w:sz w:val="24"/>
          <w:szCs w:val="24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obveznik je dostavio preslike imovinskih kartica podnesenih 23. lipnja 2017. g., 01. lipnja 2021. i 20. siječnja 2022. g.  </w:t>
      </w:r>
    </w:p>
    <w:p w14:paraId="5B16E980" w14:textId="77777777" w:rsidR="00EB4499" w:rsidRPr="00E64225" w:rsidRDefault="00EB4499" w:rsidP="00AC633E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1CCADE40" w14:textId="73A00925" w:rsidR="008620E6" w:rsidRPr="00E64225" w:rsidRDefault="00601F5E" w:rsidP="00601F5E">
      <w:pPr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 xml:space="preserve">Slijedom navedenog, Povjerenstvo utvrđuje kako obveznik nije dostavio odgovarajuće dokaze potrebne za usklađivanje prijavljene imovine i imovine s utvrđenom u postupku provjere s pribavljenim podacima o imovini dužnosnika te je utvrđen nesklad te je </w:t>
      </w:r>
      <w:r w:rsidR="008620E6" w:rsidRPr="00E64225">
        <w:rPr>
          <w:rFonts w:ascii="Times New Roman" w:hAnsi="Times New Roman" w:cs="Times New Roman"/>
          <w:sz w:val="24"/>
          <w:szCs w:val="24"/>
        </w:rPr>
        <w:t>Povjerenstvo donijelo odluku kao u točki I</w:t>
      </w:r>
      <w:r w:rsidRPr="00E64225">
        <w:rPr>
          <w:rFonts w:ascii="Times New Roman" w:hAnsi="Times New Roman" w:cs="Times New Roman"/>
          <w:sz w:val="24"/>
          <w:szCs w:val="24"/>
        </w:rPr>
        <w:t xml:space="preserve">. </w:t>
      </w:r>
      <w:r w:rsidR="008620E6" w:rsidRPr="00E64225">
        <w:rPr>
          <w:rFonts w:ascii="Times New Roman" w:hAnsi="Times New Roman" w:cs="Times New Roman"/>
          <w:sz w:val="24"/>
          <w:szCs w:val="24"/>
        </w:rPr>
        <w:t>izreke.</w:t>
      </w:r>
    </w:p>
    <w:p w14:paraId="2513DA7F" w14:textId="77777777" w:rsidR="007D40C8" w:rsidRPr="00E64225" w:rsidRDefault="007D40C8" w:rsidP="007D4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478B8A" w14:textId="6A947361" w:rsidR="008620E6" w:rsidRPr="00E64225" w:rsidRDefault="008620E6" w:rsidP="008620E6">
      <w:pPr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ab/>
      </w:r>
      <w:r w:rsidR="0022199B" w:rsidRPr="00E64225">
        <w:rPr>
          <w:rFonts w:ascii="Times New Roman" w:hAnsi="Times New Roman" w:cs="Times New Roman"/>
          <w:sz w:val="24"/>
          <w:szCs w:val="24"/>
        </w:rPr>
        <w:t>Č</w:t>
      </w:r>
      <w:r w:rsidRPr="00E64225">
        <w:rPr>
          <w:rFonts w:ascii="Times New Roman" w:hAnsi="Times New Roman" w:cs="Times New Roman"/>
          <w:sz w:val="24"/>
          <w:szCs w:val="24"/>
        </w:rPr>
        <w:t xml:space="preserve">lankom 42. </w:t>
      </w:r>
      <w:r w:rsidR="00E64225" w:rsidRPr="00E64225">
        <w:rPr>
          <w:rFonts w:ascii="Times New Roman" w:eastAsia="Calibri" w:hAnsi="Times New Roman" w:cs="Times New Roman"/>
          <w:sz w:val="24"/>
          <w:szCs w:val="24"/>
        </w:rPr>
        <w:t>ZSSI-a/11</w:t>
      </w:r>
      <w:r w:rsidR="00E64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225">
        <w:rPr>
          <w:rFonts w:ascii="Times New Roman" w:hAnsi="Times New Roman" w:cs="Times New Roman"/>
          <w:sz w:val="24"/>
          <w:szCs w:val="24"/>
        </w:rPr>
        <w:t xml:space="preserve">propisane </w:t>
      </w:r>
      <w:r w:rsidR="0022199B" w:rsidRPr="00E64225">
        <w:rPr>
          <w:rFonts w:ascii="Times New Roman" w:hAnsi="Times New Roman" w:cs="Times New Roman"/>
          <w:sz w:val="24"/>
          <w:szCs w:val="24"/>
        </w:rPr>
        <w:t xml:space="preserve">su </w:t>
      </w:r>
      <w:r w:rsidRPr="00E64225">
        <w:rPr>
          <w:rFonts w:ascii="Times New Roman" w:hAnsi="Times New Roman" w:cs="Times New Roman"/>
          <w:sz w:val="24"/>
          <w:szCs w:val="24"/>
        </w:rPr>
        <w:t xml:space="preserve">sankcije koje se mogu izreći za povredu odredbi navedenog Zakona. Za povredu odredbi članka </w:t>
      </w:r>
      <w:r w:rsidR="0022199B" w:rsidRPr="00E64225">
        <w:rPr>
          <w:rFonts w:ascii="Times New Roman" w:hAnsi="Times New Roman" w:cs="Times New Roman"/>
          <w:sz w:val="24"/>
          <w:szCs w:val="24"/>
        </w:rPr>
        <w:t>8. i 9.</w:t>
      </w:r>
      <w:r w:rsidR="00CD2D89" w:rsidRPr="00E64225">
        <w:rPr>
          <w:rFonts w:ascii="Times New Roman" w:hAnsi="Times New Roman" w:cs="Times New Roman"/>
          <w:sz w:val="24"/>
          <w:szCs w:val="24"/>
        </w:rPr>
        <w:t>.</w:t>
      </w:r>
      <w:r w:rsidRPr="00E64225">
        <w:rPr>
          <w:rFonts w:ascii="Times New Roman" w:hAnsi="Times New Roman" w:cs="Times New Roman"/>
          <w:sz w:val="24"/>
          <w:szCs w:val="24"/>
        </w:rPr>
        <w:t xml:space="preserve"> Povjerenstvo može izreći sankciju obustave isplate dijela neto mjesečne plaće, opomenu i javno objavljivanje odl</w:t>
      </w:r>
      <w:r w:rsidR="007D40C8" w:rsidRPr="00E64225">
        <w:rPr>
          <w:rFonts w:ascii="Times New Roman" w:hAnsi="Times New Roman" w:cs="Times New Roman"/>
          <w:sz w:val="24"/>
          <w:szCs w:val="24"/>
        </w:rPr>
        <w:t>uke Povjerenstva.</w:t>
      </w:r>
    </w:p>
    <w:p w14:paraId="020603BB" w14:textId="1350F333" w:rsidR="0022199B" w:rsidRPr="00E64225" w:rsidRDefault="007D40C8" w:rsidP="00FF7BA8">
      <w:pPr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199B" w:rsidRPr="00E64225">
        <w:rPr>
          <w:rFonts w:ascii="Times New Roman" w:hAnsi="Times New Roman" w:cs="Times New Roman"/>
          <w:sz w:val="24"/>
          <w:szCs w:val="24"/>
        </w:rPr>
        <w:t>Prilikom izricanja visine sankcije, Povjerenstvo je kao okolnost koja uvećava odgovornost dužnosnika uzelo u obzir da je dužnosnik propustio po pisanom pozivu Povjerenstva priložiti odgovarajuće dokaze potrebne za usklađivanje prijavljene imovine u Izvješćima o imovinskom stanju u odnosu na više različitih podataka, zatim da je povredu odredaba ZSSI-a činio u kontinuitetu, odnosno dužem vremenskom razdoblju, slijedom čega smatra primjerenim izreći sankciju obustave isplate dijela neto mjesečne plaće.</w:t>
      </w:r>
      <w:r w:rsidR="00FF7BA8" w:rsidRPr="00E64225">
        <w:rPr>
          <w:rFonts w:ascii="Times New Roman" w:hAnsi="Times New Roman" w:cs="Times New Roman"/>
          <w:sz w:val="24"/>
          <w:szCs w:val="24"/>
        </w:rPr>
        <w:t xml:space="preserve"> Isto tako, dužnosniku je Povjerenstvo Odlukom Broj: 711-I-119-P-56-18/20-13-11 16. siječnja 2020.g. već izreklo sankciju </w:t>
      </w:r>
      <w:r w:rsidR="003975B7" w:rsidRPr="00E64225">
        <w:rPr>
          <w:rFonts w:ascii="Times New Roman" w:hAnsi="Times New Roman" w:cs="Times New Roman"/>
          <w:sz w:val="24"/>
          <w:szCs w:val="24"/>
        </w:rPr>
        <w:t>obustave isplate dijela neto mjesečne plaće za različite povrede odredaba ZSSI/11-a.</w:t>
      </w:r>
      <w:r w:rsidR="00FF7BA8" w:rsidRPr="00E6422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5F903919" w14:textId="77777777" w:rsidR="00136756" w:rsidRPr="00E64225" w:rsidRDefault="00136756" w:rsidP="0013675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kn, vodeći računa o težini i posljedicama povrede Zakona. Pritom se napominje da se plaćom, sukladno članku 4. stavku 1. ZSSI-a, smatra svaki novčani primitak za obnašanje dužnosti pa tako i eventualna naknada plaće nakon prestanka obnašanja dužnosti.</w:t>
      </w:r>
    </w:p>
    <w:p w14:paraId="3AEB5783" w14:textId="77777777" w:rsidR="00136756" w:rsidRPr="00E64225" w:rsidRDefault="00136756" w:rsidP="0013675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C3168" w14:textId="29E56066" w:rsidR="00136756" w:rsidRPr="00E64225" w:rsidRDefault="00136756" w:rsidP="0013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Cijeneći navedene okolnosti, Povjerenstvo smatra da je za utvrđene povrede ZSSI-a/11 primjerena minimalna propisana sankcija iz članka 42. stavka 1. podstavka 2. u vezi s člankom 44. ZSSI-a, odnosno obustava isplate dijela neto mjesečne plaće u ukupnom iznosu od </w:t>
      </w:r>
      <w:r w:rsidR="003975B7" w:rsidRPr="00E64225">
        <w:rPr>
          <w:rFonts w:ascii="Times New Roman" w:eastAsia="Calibri" w:hAnsi="Times New Roman" w:cs="Times New Roman"/>
          <w:sz w:val="24"/>
          <w:szCs w:val="24"/>
        </w:rPr>
        <w:t>1.00</w:t>
      </w:r>
      <w:r w:rsidR="00FE02AF" w:rsidRPr="00E64225">
        <w:rPr>
          <w:rFonts w:ascii="Times New Roman" w:eastAsia="Calibri" w:hAnsi="Times New Roman" w:cs="Times New Roman"/>
          <w:sz w:val="24"/>
          <w:szCs w:val="24"/>
        </w:rPr>
        <w:t>0</w:t>
      </w:r>
      <w:r w:rsidRPr="00E64225">
        <w:rPr>
          <w:rFonts w:ascii="Times New Roman" w:eastAsia="Calibri" w:hAnsi="Times New Roman" w:cs="Times New Roman"/>
          <w:sz w:val="24"/>
          <w:szCs w:val="24"/>
        </w:rPr>
        <w:t>,</w:t>
      </w:r>
      <w:r w:rsidR="00BD7541" w:rsidRPr="00E64225">
        <w:rPr>
          <w:rFonts w:ascii="Times New Roman" w:eastAsia="Calibri" w:hAnsi="Times New Roman" w:cs="Times New Roman"/>
          <w:sz w:val="24"/>
          <w:szCs w:val="24"/>
        </w:rPr>
        <w:t>00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2AF" w:rsidRPr="00E64225">
        <w:rPr>
          <w:rFonts w:ascii="Times New Roman" w:eastAsia="Calibri" w:hAnsi="Times New Roman" w:cs="Times New Roman"/>
          <w:sz w:val="24"/>
          <w:szCs w:val="24"/>
        </w:rPr>
        <w:t xml:space="preserve">eura 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koja će trajati </w:t>
      </w:r>
      <w:r w:rsidR="003975B7" w:rsidRPr="00E64225">
        <w:rPr>
          <w:rFonts w:ascii="Times New Roman" w:eastAsia="Calibri" w:hAnsi="Times New Roman" w:cs="Times New Roman"/>
          <w:sz w:val="24"/>
          <w:szCs w:val="24"/>
        </w:rPr>
        <w:t>4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mjeseca, a izvršit će se u </w:t>
      </w:r>
      <w:r w:rsidR="003975B7" w:rsidRPr="00E64225">
        <w:rPr>
          <w:rFonts w:ascii="Times New Roman" w:eastAsia="Calibri" w:hAnsi="Times New Roman" w:cs="Times New Roman"/>
          <w:sz w:val="24"/>
          <w:szCs w:val="24"/>
        </w:rPr>
        <w:t>4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jednaka uzastopna mjesečna obroka, svaki u pojedinačnom iznosu od </w:t>
      </w:r>
      <w:r w:rsidR="00FE02AF" w:rsidRPr="00E64225">
        <w:rPr>
          <w:rFonts w:ascii="Times New Roman" w:eastAsia="Calibri" w:hAnsi="Times New Roman" w:cs="Times New Roman"/>
          <w:sz w:val="24"/>
          <w:szCs w:val="24"/>
        </w:rPr>
        <w:t>2</w:t>
      </w:r>
      <w:r w:rsidR="003975B7" w:rsidRPr="00E64225">
        <w:rPr>
          <w:rFonts w:ascii="Times New Roman" w:eastAsia="Calibri" w:hAnsi="Times New Roman" w:cs="Times New Roman"/>
          <w:sz w:val="24"/>
          <w:szCs w:val="24"/>
        </w:rPr>
        <w:t>5</w:t>
      </w:r>
      <w:r w:rsidR="00FE02AF" w:rsidRPr="00E64225">
        <w:rPr>
          <w:rFonts w:ascii="Times New Roman" w:eastAsia="Calibri" w:hAnsi="Times New Roman" w:cs="Times New Roman"/>
          <w:sz w:val="24"/>
          <w:szCs w:val="24"/>
        </w:rPr>
        <w:t>0</w:t>
      </w:r>
      <w:r w:rsidRPr="00E64225">
        <w:rPr>
          <w:rFonts w:ascii="Times New Roman" w:eastAsia="Calibri" w:hAnsi="Times New Roman" w:cs="Times New Roman"/>
          <w:sz w:val="24"/>
          <w:szCs w:val="24"/>
        </w:rPr>
        <w:t>,</w:t>
      </w:r>
      <w:r w:rsidR="00BD7541" w:rsidRPr="00E64225">
        <w:rPr>
          <w:rFonts w:ascii="Times New Roman" w:eastAsia="Calibri" w:hAnsi="Times New Roman" w:cs="Times New Roman"/>
          <w:sz w:val="24"/>
          <w:szCs w:val="24"/>
        </w:rPr>
        <w:t>00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BD7541" w:rsidRPr="00E64225">
        <w:rPr>
          <w:rFonts w:ascii="Times New Roman" w:eastAsia="Calibri" w:hAnsi="Times New Roman" w:cs="Times New Roman"/>
          <w:sz w:val="24"/>
          <w:szCs w:val="24"/>
        </w:rPr>
        <w:t>.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9FB90" w14:textId="77777777" w:rsidR="00136756" w:rsidRPr="00E64225" w:rsidRDefault="00136756" w:rsidP="0013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11227" w14:textId="206EF4F8" w:rsidR="008620E6" w:rsidRPr="00E64225" w:rsidRDefault="008620E6" w:rsidP="008620E6">
      <w:pPr>
        <w:jc w:val="both"/>
        <w:rPr>
          <w:rFonts w:ascii="Times New Roman" w:hAnsi="Times New Roman" w:cs="Times New Roman"/>
          <w:sz w:val="24"/>
          <w:szCs w:val="24"/>
        </w:rPr>
      </w:pPr>
      <w:r w:rsidRPr="00E64225">
        <w:rPr>
          <w:rFonts w:ascii="Times New Roman" w:hAnsi="Times New Roman" w:cs="Times New Roman"/>
          <w:sz w:val="24"/>
          <w:szCs w:val="24"/>
        </w:rPr>
        <w:tab/>
        <w:t>Slijedom navedenog, odlučeno je kao u točki II. izreke.</w:t>
      </w:r>
    </w:p>
    <w:p w14:paraId="75BF584C" w14:textId="77777777" w:rsidR="00164B80" w:rsidRPr="00E64225" w:rsidRDefault="00164B8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Pr="00E6422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PREDSJEDNICA POVJERENSTVA         </w:t>
      </w:r>
    </w:p>
    <w:p w14:paraId="5D91D82B" w14:textId="77777777" w:rsidR="00164B80" w:rsidRPr="00E6422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E6422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E642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E64225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E642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E64225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E6422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2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E6422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E6422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E64225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4B3F94C" w14:textId="77777777" w:rsidR="007D40C8" w:rsidRPr="00E64225" w:rsidRDefault="00F825D0" w:rsidP="007D40C8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2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3F3AE8C" w:rsidR="00F825D0" w:rsidRPr="00E64225" w:rsidRDefault="007D40C8" w:rsidP="007D40C8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     1. </w:t>
      </w:r>
      <w:r w:rsidR="0067562A" w:rsidRPr="00E6422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EB4499" w:rsidRPr="00E64225">
        <w:rPr>
          <w:rFonts w:ascii="Times New Roman" w:eastAsia="Calibri" w:hAnsi="Times New Roman" w:cs="Times New Roman"/>
          <w:sz w:val="24"/>
          <w:szCs w:val="24"/>
        </w:rPr>
        <w:t>Milorad Delić</w:t>
      </w:r>
      <w:r w:rsidR="00F825D0" w:rsidRPr="00E642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E6422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E6422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153C734" w:rsidR="00E2475D" w:rsidRPr="00E64225" w:rsidRDefault="000F3DC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A6FE1" w:rsidRPr="00E64225">
        <w:rPr>
          <w:rFonts w:ascii="Times New Roman" w:eastAsia="Calibri" w:hAnsi="Times New Roman" w:cs="Times New Roman"/>
          <w:sz w:val="24"/>
          <w:szCs w:val="24"/>
        </w:rPr>
        <w:t>2</w:t>
      </w:r>
      <w:r w:rsidR="00E2475D" w:rsidRPr="00E64225">
        <w:rPr>
          <w:rFonts w:ascii="Times New Roman" w:eastAsia="Calibri" w:hAnsi="Times New Roman" w:cs="Times New Roman"/>
          <w:sz w:val="24"/>
          <w:szCs w:val="24"/>
        </w:rPr>
        <w:t xml:space="preserve">. Objava na mrežnim stranicama Povjerenstva nakon uredne dostave </w:t>
      </w:r>
      <w:r w:rsidR="00CA4FE7" w:rsidRPr="00E64225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68EA78B7" w:rsidR="00F825D0" w:rsidRPr="00E64225" w:rsidRDefault="004A6FE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4225">
        <w:rPr>
          <w:rFonts w:ascii="Times New Roman" w:eastAsia="Calibri" w:hAnsi="Times New Roman" w:cs="Times New Roman"/>
          <w:sz w:val="24"/>
          <w:szCs w:val="24"/>
        </w:rPr>
        <w:t xml:space="preserve">      3</w:t>
      </w:r>
      <w:r w:rsidR="00F825D0" w:rsidRPr="00E64225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E64225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42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E64225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E64225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E64225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E64225" w:rsidSect="000B2E3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AD35" w14:textId="77777777" w:rsidR="000B2E30" w:rsidRDefault="000B2E30" w:rsidP="005B5818">
      <w:pPr>
        <w:spacing w:after="0" w:line="240" w:lineRule="auto"/>
      </w:pPr>
      <w:r>
        <w:separator/>
      </w:r>
    </w:p>
  </w:endnote>
  <w:endnote w:type="continuationSeparator" w:id="0">
    <w:p w14:paraId="4A2BBBF3" w14:textId="77777777" w:rsidR="000B2E30" w:rsidRDefault="000B2E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DACC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5790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2D63D" w14:textId="77777777" w:rsidR="000B2E30" w:rsidRDefault="000B2E30" w:rsidP="005B5818">
      <w:pPr>
        <w:spacing w:after="0" w:line="240" w:lineRule="auto"/>
      </w:pPr>
      <w:r>
        <w:separator/>
      </w:r>
    </w:p>
  </w:footnote>
  <w:footnote w:type="continuationSeparator" w:id="0">
    <w:p w14:paraId="638A42EA" w14:textId="77777777" w:rsidR="000B2E30" w:rsidRDefault="000B2E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139E9D2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55482FDC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5281">
    <w:abstractNumId w:val="7"/>
  </w:num>
  <w:num w:numId="2" w16cid:durableId="922299845">
    <w:abstractNumId w:val="0"/>
  </w:num>
  <w:num w:numId="3" w16cid:durableId="185558395">
    <w:abstractNumId w:val="5"/>
  </w:num>
  <w:num w:numId="4" w16cid:durableId="874197496">
    <w:abstractNumId w:val="9"/>
  </w:num>
  <w:num w:numId="5" w16cid:durableId="88819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45609334">
    <w:abstractNumId w:val="1"/>
  </w:num>
  <w:num w:numId="7" w16cid:durableId="1944073269">
    <w:abstractNumId w:val="4"/>
  </w:num>
  <w:num w:numId="8" w16cid:durableId="875968541">
    <w:abstractNumId w:val="6"/>
  </w:num>
  <w:num w:numId="9" w16cid:durableId="1062749592">
    <w:abstractNumId w:val="3"/>
  </w:num>
  <w:num w:numId="10" w16cid:durableId="204608782">
    <w:abstractNumId w:val="9"/>
  </w:num>
  <w:num w:numId="11" w16cid:durableId="200176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34EF2"/>
    <w:rsid w:val="0005280B"/>
    <w:rsid w:val="00063375"/>
    <w:rsid w:val="0006337F"/>
    <w:rsid w:val="00067EC1"/>
    <w:rsid w:val="00083F12"/>
    <w:rsid w:val="00096F6A"/>
    <w:rsid w:val="000A0340"/>
    <w:rsid w:val="000A1322"/>
    <w:rsid w:val="000A7518"/>
    <w:rsid w:val="000B2775"/>
    <w:rsid w:val="000B2E30"/>
    <w:rsid w:val="000C4E9D"/>
    <w:rsid w:val="000C5B03"/>
    <w:rsid w:val="000C5FD2"/>
    <w:rsid w:val="000E626F"/>
    <w:rsid w:val="000E75E4"/>
    <w:rsid w:val="000F3DC1"/>
    <w:rsid w:val="000F5EE0"/>
    <w:rsid w:val="00101F03"/>
    <w:rsid w:val="00102531"/>
    <w:rsid w:val="001033CA"/>
    <w:rsid w:val="00112E23"/>
    <w:rsid w:val="0012224D"/>
    <w:rsid w:val="00123ACD"/>
    <w:rsid w:val="00136756"/>
    <w:rsid w:val="001375FF"/>
    <w:rsid w:val="0014798A"/>
    <w:rsid w:val="0015140F"/>
    <w:rsid w:val="00152E9F"/>
    <w:rsid w:val="00160B51"/>
    <w:rsid w:val="00164B80"/>
    <w:rsid w:val="00165CF7"/>
    <w:rsid w:val="00185343"/>
    <w:rsid w:val="001921FD"/>
    <w:rsid w:val="00195787"/>
    <w:rsid w:val="00195C39"/>
    <w:rsid w:val="001B1F01"/>
    <w:rsid w:val="001C3F41"/>
    <w:rsid w:val="001C47FC"/>
    <w:rsid w:val="001C75A3"/>
    <w:rsid w:val="001D720C"/>
    <w:rsid w:val="001D7BEB"/>
    <w:rsid w:val="001E3446"/>
    <w:rsid w:val="0020282B"/>
    <w:rsid w:val="002056F4"/>
    <w:rsid w:val="00211A65"/>
    <w:rsid w:val="002153AB"/>
    <w:rsid w:val="0022199B"/>
    <w:rsid w:val="00222096"/>
    <w:rsid w:val="0023102B"/>
    <w:rsid w:val="00231ECC"/>
    <w:rsid w:val="00235F2B"/>
    <w:rsid w:val="0023715E"/>
    <w:rsid w:val="0023718E"/>
    <w:rsid w:val="002421E6"/>
    <w:rsid w:val="00243338"/>
    <w:rsid w:val="002541BE"/>
    <w:rsid w:val="00256200"/>
    <w:rsid w:val="00280100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E47A5"/>
    <w:rsid w:val="002F313C"/>
    <w:rsid w:val="0030414B"/>
    <w:rsid w:val="00322DCD"/>
    <w:rsid w:val="00332D21"/>
    <w:rsid w:val="003416CC"/>
    <w:rsid w:val="00346922"/>
    <w:rsid w:val="00354459"/>
    <w:rsid w:val="00370323"/>
    <w:rsid w:val="00375A76"/>
    <w:rsid w:val="00376285"/>
    <w:rsid w:val="00381352"/>
    <w:rsid w:val="00383198"/>
    <w:rsid w:val="00386D73"/>
    <w:rsid w:val="003975B7"/>
    <w:rsid w:val="003A11CC"/>
    <w:rsid w:val="003A6C83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31EC8"/>
    <w:rsid w:val="004331CC"/>
    <w:rsid w:val="00444515"/>
    <w:rsid w:val="00452534"/>
    <w:rsid w:val="0045526D"/>
    <w:rsid w:val="00467C51"/>
    <w:rsid w:val="0047109D"/>
    <w:rsid w:val="00477246"/>
    <w:rsid w:val="004A5B81"/>
    <w:rsid w:val="004A6FE1"/>
    <w:rsid w:val="004B12AF"/>
    <w:rsid w:val="004C2B87"/>
    <w:rsid w:val="004E6648"/>
    <w:rsid w:val="00512887"/>
    <w:rsid w:val="005310EF"/>
    <w:rsid w:val="00537FD1"/>
    <w:rsid w:val="00550195"/>
    <w:rsid w:val="0055273A"/>
    <w:rsid w:val="00561152"/>
    <w:rsid w:val="00564BCB"/>
    <w:rsid w:val="00572748"/>
    <w:rsid w:val="00583D0D"/>
    <w:rsid w:val="00587910"/>
    <w:rsid w:val="005A52B9"/>
    <w:rsid w:val="005A6BC8"/>
    <w:rsid w:val="005B258B"/>
    <w:rsid w:val="005B29D4"/>
    <w:rsid w:val="005B40E9"/>
    <w:rsid w:val="005B5818"/>
    <w:rsid w:val="005D4F01"/>
    <w:rsid w:val="005F7516"/>
    <w:rsid w:val="00601F5E"/>
    <w:rsid w:val="0061618D"/>
    <w:rsid w:val="006178F8"/>
    <w:rsid w:val="00627642"/>
    <w:rsid w:val="00633242"/>
    <w:rsid w:val="00636216"/>
    <w:rsid w:val="006404B7"/>
    <w:rsid w:val="00640927"/>
    <w:rsid w:val="00642A4F"/>
    <w:rsid w:val="00647B1E"/>
    <w:rsid w:val="00662C16"/>
    <w:rsid w:val="00673A00"/>
    <w:rsid w:val="00674713"/>
    <w:rsid w:val="0067562A"/>
    <w:rsid w:val="006756D5"/>
    <w:rsid w:val="00676BA7"/>
    <w:rsid w:val="006806E9"/>
    <w:rsid w:val="00687415"/>
    <w:rsid w:val="006900BE"/>
    <w:rsid w:val="00693FD7"/>
    <w:rsid w:val="006A6E5F"/>
    <w:rsid w:val="006B0EA3"/>
    <w:rsid w:val="006C3AB1"/>
    <w:rsid w:val="006D210A"/>
    <w:rsid w:val="006D4C8D"/>
    <w:rsid w:val="006E303E"/>
    <w:rsid w:val="006E4364"/>
    <w:rsid w:val="006E4FD8"/>
    <w:rsid w:val="006F27E2"/>
    <w:rsid w:val="006F43E3"/>
    <w:rsid w:val="0071684E"/>
    <w:rsid w:val="0072328A"/>
    <w:rsid w:val="00731036"/>
    <w:rsid w:val="00736DEE"/>
    <w:rsid w:val="00747047"/>
    <w:rsid w:val="00747AF5"/>
    <w:rsid w:val="0076087F"/>
    <w:rsid w:val="007622AB"/>
    <w:rsid w:val="00770A4C"/>
    <w:rsid w:val="0077740E"/>
    <w:rsid w:val="00785231"/>
    <w:rsid w:val="0079203D"/>
    <w:rsid w:val="00793EC7"/>
    <w:rsid w:val="007A413B"/>
    <w:rsid w:val="007A4CDD"/>
    <w:rsid w:val="007B2030"/>
    <w:rsid w:val="007C0269"/>
    <w:rsid w:val="007C0780"/>
    <w:rsid w:val="007D0E59"/>
    <w:rsid w:val="007D40C8"/>
    <w:rsid w:val="007D7466"/>
    <w:rsid w:val="007F14B8"/>
    <w:rsid w:val="007F2B72"/>
    <w:rsid w:val="007F5104"/>
    <w:rsid w:val="00822EE4"/>
    <w:rsid w:val="00824B78"/>
    <w:rsid w:val="0082633E"/>
    <w:rsid w:val="008311E1"/>
    <w:rsid w:val="0084124B"/>
    <w:rsid w:val="008463DE"/>
    <w:rsid w:val="00847342"/>
    <w:rsid w:val="008620E6"/>
    <w:rsid w:val="00872BF1"/>
    <w:rsid w:val="008835EF"/>
    <w:rsid w:val="00897387"/>
    <w:rsid w:val="008A213B"/>
    <w:rsid w:val="008A74D1"/>
    <w:rsid w:val="008C6434"/>
    <w:rsid w:val="008E42C0"/>
    <w:rsid w:val="008E4642"/>
    <w:rsid w:val="008E5CE2"/>
    <w:rsid w:val="008F5DBF"/>
    <w:rsid w:val="008F7FEA"/>
    <w:rsid w:val="009062CF"/>
    <w:rsid w:val="00913B0E"/>
    <w:rsid w:val="00915BA3"/>
    <w:rsid w:val="00916915"/>
    <w:rsid w:val="00923F2A"/>
    <w:rsid w:val="00945142"/>
    <w:rsid w:val="00953923"/>
    <w:rsid w:val="00962337"/>
    <w:rsid w:val="00965145"/>
    <w:rsid w:val="00970E2A"/>
    <w:rsid w:val="00973C59"/>
    <w:rsid w:val="00975F05"/>
    <w:rsid w:val="00976F57"/>
    <w:rsid w:val="00981C7E"/>
    <w:rsid w:val="00983E88"/>
    <w:rsid w:val="0098790B"/>
    <w:rsid w:val="00990A6A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1AF0"/>
    <w:rsid w:val="00A22DF2"/>
    <w:rsid w:val="00A2679B"/>
    <w:rsid w:val="00A41D57"/>
    <w:rsid w:val="00A543A2"/>
    <w:rsid w:val="00A60F21"/>
    <w:rsid w:val="00A82B2E"/>
    <w:rsid w:val="00A84AC3"/>
    <w:rsid w:val="00A93264"/>
    <w:rsid w:val="00A96533"/>
    <w:rsid w:val="00A97F5C"/>
    <w:rsid w:val="00AA3E69"/>
    <w:rsid w:val="00AA3F5D"/>
    <w:rsid w:val="00AB2974"/>
    <w:rsid w:val="00AB2C99"/>
    <w:rsid w:val="00AC5178"/>
    <w:rsid w:val="00AC633E"/>
    <w:rsid w:val="00AD1FFE"/>
    <w:rsid w:val="00AE2037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18F9"/>
    <w:rsid w:val="00B45354"/>
    <w:rsid w:val="00B45418"/>
    <w:rsid w:val="00B45F07"/>
    <w:rsid w:val="00B46835"/>
    <w:rsid w:val="00B46B3C"/>
    <w:rsid w:val="00B47BF1"/>
    <w:rsid w:val="00B55B8F"/>
    <w:rsid w:val="00B76194"/>
    <w:rsid w:val="00B8119D"/>
    <w:rsid w:val="00B83F61"/>
    <w:rsid w:val="00BA1245"/>
    <w:rsid w:val="00BB22F1"/>
    <w:rsid w:val="00BC344F"/>
    <w:rsid w:val="00BD049B"/>
    <w:rsid w:val="00BD0BBA"/>
    <w:rsid w:val="00BD4F19"/>
    <w:rsid w:val="00BD579A"/>
    <w:rsid w:val="00BD7541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451E8"/>
    <w:rsid w:val="00C66C01"/>
    <w:rsid w:val="00C740A9"/>
    <w:rsid w:val="00C75235"/>
    <w:rsid w:val="00C80D6B"/>
    <w:rsid w:val="00C81761"/>
    <w:rsid w:val="00C829CD"/>
    <w:rsid w:val="00C927E9"/>
    <w:rsid w:val="00CA28B6"/>
    <w:rsid w:val="00CA3CB1"/>
    <w:rsid w:val="00CA3FA7"/>
    <w:rsid w:val="00CA4FE7"/>
    <w:rsid w:val="00CA602D"/>
    <w:rsid w:val="00CA7197"/>
    <w:rsid w:val="00CC3504"/>
    <w:rsid w:val="00CC7C94"/>
    <w:rsid w:val="00CD2D89"/>
    <w:rsid w:val="00CE043F"/>
    <w:rsid w:val="00CF0867"/>
    <w:rsid w:val="00D00541"/>
    <w:rsid w:val="00D02DD3"/>
    <w:rsid w:val="00D11BA5"/>
    <w:rsid w:val="00D1289E"/>
    <w:rsid w:val="00D21945"/>
    <w:rsid w:val="00D232CF"/>
    <w:rsid w:val="00D25D87"/>
    <w:rsid w:val="00D27326"/>
    <w:rsid w:val="00D413B1"/>
    <w:rsid w:val="00D4143C"/>
    <w:rsid w:val="00D419F9"/>
    <w:rsid w:val="00D52F53"/>
    <w:rsid w:val="00D53E0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B0C8B"/>
    <w:rsid w:val="00DE4BD0"/>
    <w:rsid w:val="00DF5A0F"/>
    <w:rsid w:val="00E04C6A"/>
    <w:rsid w:val="00E15A45"/>
    <w:rsid w:val="00E167C4"/>
    <w:rsid w:val="00E20C6F"/>
    <w:rsid w:val="00E2475D"/>
    <w:rsid w:val="00E26B0C"/>
    <w:rsid w:val="00E30D60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64225"/>
    <w:rsid w:val="00E83120"/>
    <w:rsid w:val="00E90A58"/>
    <w:rsid w:val="00E9430D"/>
    <w:rsid w:val="00E958DB"/>
    <w:rsid w:val="00E976E9"/>
    <w:rsid w:val="00EA0284"/>
    <w:rsid w:val="00EA44FB"/>
    <w:rsid w:val="00EA50CC"/>
    <w:rsid w:val="00EA6525"/>
    <w:rsid w:val="00EB4499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02AF"/>
    <w:rsid w:val="00FE251E"/>
    <w:rsid w:val="00FE44C4"/>
    <w:rsid w:val="00FF4EC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3640</Words>
  <Characters>20119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Simona Marić</cp:lastModifiedBy>
  <cp:revision>5</cp:revision>
  <cp:lastPrinted>2023-10-16T13:11:00Z</cp:lastPrinted>
  <dcterms:created xsi:type="dcterms:W3CDTF">2024-05-08T10:26:00Z</dcterms:created>
  <dcterms:modified xsi:type="dcterms:W3CDTF">2024-05-08T13:36:00Z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